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423598" w:rsidRDefault="007766DD" w:rsidP="00EB38E6">
      <w:pPr>
        <w:jc w:val="center"/>
        <w:rPr>
          <w:lang w:val="en-GB"/>
        </w:rPr>
      </w:pPr>
      <w:r w:rsidRPr="00423598">
        <w:rPr>
          <w:noProof/>
        </w:rPr>
        <w:drawing>
          <wp:inline distT="0" distB="0" distL="0" distR="0" wp14:anchorId="616C14D8" wp14:editId="0A689EDA">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423598" w:rsidRDefault="002B26D6" w:rsidP="000F7E70">
      <w:pPr>
        <w:autoSpaceDE w:val="0"/>
        <w:ind w:left="720" w:firstLine="720"/>
        <w:jc w:val="center"/>
        <w:rPr>
          <w:b/>
          <w:bCs/>
          <w:lang w:val="en-GB"/>
        </w:rPr>
      </w:pPr>
    </w:p>
    <w:p w:rsidR="000F7E70" w:rsidRPr="00423598" w:rsidRDefault="000F7E70" w:rsidP="00EB38E6">
      <w:pPr>
        <w:autoSpaceDE w:val="0"/>
        <w:ind w:hanging="11"/>
        <w:jc w:val="center"/>
        <w:rPr>
          <w:b/>
          <w:bCs/>
          <w:lang w:val="en-GB"/>
        </w:rPr>
      </w:pPr>
      <w:r w:rsidRPr="00423598">
        <w:rPr>
          <w:b/>
          <w:bCs/>
          <w:lang w:val="en-GB"/>
        </w:rPr>
        <w:t>OPINION</w:t>
      </w:r>
    </w:p>
    <w:p w:rsidR="00423598" w:rsidRDefault="00423598" w:rsidP="000F7E70">
      <w:pPr>
        <w:autoSpaceDE w:val="0"/>
        <w:jc w:val="both"/>
        <w:rPr>
          <w:b/>
          <w:bCs/>
          <w:lang w:val="en-GB"/>
        </w:rPr>
      </w:pPr>
    </w:p>
    <w:p w:rsidR="000F7E70" w:rsidRPr="00423598" w:rsidRDefault="000F7E70" w:rsidP="000F7E70">
      <w:pPr>
        <w:autoSpaceDE w:val="0"/>
        <w:jc w:val="both"/>
        <w:rPr>
          <w:b/>
          <w:bCs/>
          <w:lang w:val="en-GB"/>
        </w:rPr>
      </w:pPr>
      <w:r w:rsidRPr="00423598">
        <w:rPr>
          <w:b/>
          <w:bCs/>
          <w:lang w:val="en-GB"/>
        </w:rPr>
        <w:t xml:space="preserve">Date of adoption: </w:t>
      </w:r>
      <w:r w:rsidR="00423598" w:rsidRPr="00423598">
        <w:rPr>
          <w:b/>
          <w:bCs/>
          <w:lang w:val="en-GB"/>
        </w:rPr>
        <w:t>17</w:t>
      </w:r>
      <w:r w:rsidRPr="00423598">
        <w:rPr>
          <w:b/>
          <w:bCs/>
          <w:lang w:val="en-GB"/>
        </w:rPr>
        <w:t xml:space="preserve"> </w:t>
      </w:r>
      <w:r w:rsidR="00F847B7" w:rsidRPr="00423598">
        <w:rPr>
          <w:b/>
          <w:bCs/>
          <w:lang w:val="en-GB"/>
        </w:rPr>
        <w:t>October</w:t>
      </w:r>
      <w:r w:rsidR="00F13DE4" w:rsidRPr="00423598">
        <w:rPr>
          <w:b/>
          <w:bCs/>
          <w:lang w:val="en-GB"/>
        </w:rPr>
        <w:t xml:space="preserve"> </w:t>
      </w:r>
      <w:r w:rsidRPr="00423598">
        <w:rPr>
          <w:b/>
          <w:bCs/>
          <w:lang w:val="en-GB"/>
        </w:rPr>
        <w:t>20</w:t>
      </w:r>
      <w:r w:rsidR="00C905F1" w:rsidRPr="00423598">
        <w:rPr>
          <w:b/>
          <w:bCs/>
          <w:lang w:val="en-GB"/>
        </w:rPr>
        <w:t>1</w:t>
      </w:r>
      <w:r w:rsidR="000A65EB" w:rsidRPr="00423598">
        <w:rPr>
          <w:b/>
          <w:bCs/>
          <w:lang w:val="en-GB"/>
        </w:rPr>
        <w:t>4</w:t>
      </w:r>
    </w:p>
    <w:p w:rsidR="00E327E1" w:rsidRPr="00423598" w:rsidRDefault="00E327E1" w:rsidP="000F7E70">
      <w:pPr>
        <w:autoSpaceDE w:val="0"/>
        <w:jc w:val="both"/>
        <w:rPr>
          <w:b/>
          <w:bCs/>
          <w:lang w:val="en-GB"/>
        </w:rPr>
      </w:pPr>
    </w:p>
    <w:p w:rsidR="002D428F" w:rsidRPr="00423598" w:rsidRDefault="003F7C2B" w:rsidP="002D428F">
      <w:pPr>
        <w:autoSpaceDE w:val="0"/>
        <w:autoSpaceDN w:val="0"/>
        <w:adjustRightInd w:val="0"/>
        <w:jc w:val="both"/>
        <w:rPr>
          <w:b/>
          <w:bCs/>
          <w:lang w:val="en-GB"/>
        </w:rPr>
      </w:pPr>
      <w:r w:rsidRPr="00423598">
        <w:rPr>
          <w:b/>
          <w:bCs/>
          <w:lang w:val="en-GB"/>
        </w:rPr>
        <w:t>Case No. 219</w:t>
      </w:r>
      <w:r w:rsidR="002D428F" w:rsidRPr="00423598">
        <w:rPr>
          <w:b/>
          <w:bCs/>
          <w:lang w:val="en-GB"/>
        </w:rPr>
        <w:t>/09</w:t>
      </w:r>
    </w:p>
    <w:p w:rsidR="002D428F" w:rsidRPr="00423598" w:rsidRDefault="002D428F" w:rsidP="002D428F">
      <w:pPr>
        <w:autoSpaceDE w:val="0"/>
        <w:autoSpaceDN w:val="0"/>
        <w:adjustRightInd w:val="0"/>
        <w:jc w:val="both"/>
        <w:rPr>
          <w:b/>
          <w:bCs/>
          <w:lang w:val="en-GB"/>
        </w:rPr>
      </w:pPr>
    </w:p>
    <w:p w:rsidR="003F7C2B" w:rsidRPr="00423598" w:rsidRDefault="003F7C2B" w:rsidP="003F7C2B">
      <w:pPr>
        <w:autoSpaceDE w:val="0"/>
        <w:autoSpaceDN w:val="0"/>
        <w:adjustRightInd w:val="0"/>
        <w:jc w:val="both"/>
        <w:rPr>
          <w:b/>
          <w:bCs/>
          <w:lang w:val="en-GB"/>
        </w:rPr>
      </w:pPr>
      <w:r w:rsidRPr="00423598">
        <w:rPr>
          <w:b/>
          <w:lang w:val="en-GB"/>
        </w:rPr>
        <w:t>Olivera BUDIMIR</w:t>
      </w:r>
    </w:p>
    <w:p w:rsidR="002D428F" w:rsidRPr="00423598" w:rsidRDefault="002D428F" w:rsidP="002D428F">
      <w:pPr>
        <w:autoSpaceDE w:val="0"/>
        <w:autoSpaceDN w:val="0"/>
        <w:adjustRightInd w:val="0"/>
        <w:jc w:val="both"/>
        <w:rPr>
          <w:b/>
          <w:bCs/>
          <w:lang w:val="en-GB"/>
        </w:rPr>
      </w:pPr>
    </w:p>
    <w:p w:rsidR="002D428F" w:rsidRPr="00423598" w:rsidRDefault="002D428F" w:rsidP="002D428F">
      <w:pPr>
        <w:autoSpaceDE w:val="0"/>
        <w:autoSpaceDN w:val="0"/>
        <w:adjustRightInd w:val="0"/>
        <w:jc w:val="both"/>
        <w:rPr>
          <w:b/>
          <w:bCs/>
          <w:lang w:val="en-GB"/>
        </w:rPr>
      </w:pPr>
      <w:proofErr w:type="gramStart"/>
      <w:r w:rsidRPr="00423598">
        <w:rPr>
          <w:b/>
          <w:bCs/>
          <w:lang w:val="en-GB"/>
        </w:rPr>
        <w:t>against</w:t>
      </w:r>
      <w:proofErr w:type="gramEnd"/>
    </w:p>
    <w:p w:rsidR="002D428F" w:rsidRPr="00423598" w:rsidRDefault="002D428F" w:rsidP="002D428F">
      <w:pPr>
        <w:autoSpaceDE w:val="0"/>
        <w:autoSpaceDN w:val="0"/>
        <w:adjustRightInd w:val="0"/>
        <w:jc w:val="both"/>
        <w:rPr>
          <w:b/>
          <w:bCs/>
          <w:lang w:val="en-GB"/>
        </w:rPr>
      </w:pPr>
    </w:p>
    <w:p w:rsidR="002D428F" w:rsidRPr="00423598" w:rsidRDefault="002D428F" w:rsidP="002D428F">
      <w:pPr>
        <w:autoSpaceDE w:val="0"/>
        <w:autoSpaceDN w:val="0"/>
        <w:adjustRightInd w:val="0"/>
        <w:jc w:val="both"/>
        <w:rPr>
          <w:b/>
          <w:bCs/>
          <w:lang w:val="en-GB"/>
        </w:rPr>
      </w:pPr>
      <w:r w:rsidRPr="00423598">
        <w:rPr>
          <w:b/>
          <w:bCs/>
          <w:lang w:val="en-GB"/>
        </w:rPr>
        <w:t xml:space="preserve">UNMIK </w:t>
      </w:r>
    </w:p>
    <w:p w:rsidR="00E07C8C" w:rsidRPr="00423598" w:rsidRDefault="00E07C8C" w:rsidP="000F7E70">
      <w:pPr>
        <w:autoSpaceDE w:val="0"/>
        <w:jc w:val="both"/>
        <w:rPr>
          <w:b/>
          <w:bCs/>
          <w:lang w:val="en-GB"/>
        </w:rPr>
      </w:pPr>
    </w:p>
    <w:p w:rsidR="004202B2" w:rsidRPr="00423598" w:rsidRDefault="004202B2" w:rsidP="000F7E70">
      <w:pPr>
        <w:autoSpaceDE w:val="0"/>
        <w:jc w:val="both"/>
        <w:rPr>
          <w:b/>
          <w:bCs/>
          <w:lang w:val="en-GB"/>
        </w:rPr>
      </w:pPr>
    </w:p>
    <w:p w:rsidR="002D428F" w:rsidRPr="00423598" w:rsidRDefault="002D428F" w:rsidP="002D428F">
      <w:pPr>
        <w:autoSpaceDE w:val="0"/>
        <w:jc w:val="both"/>
      </w:pPr>
      <w:r w:rsidRPr="00423598">
        <w:t xml:space="preserve">The Human Rights Advisory Panel, on </w:t>
      </w:r>
      <w:r w:rsidR="00423598" w:rsidRPr="00423598">
        <w:t>17</w:t>
      </w:r>
      <w:r w:rsidRPr="00423598">
        <w:t xml:space="preserve"> </w:t>
      </w:r>
      <w:r w:rsidR="00F847B7" w:rsidRPr="00423598">
        <w:t>October</w:t>
      </w:r>
      <w:r w:rsidRPr="00423598">
        <w:t xml:space="preserve"> 2014,</w:t>
      </w:r>
    </w:p>
    <w:p w:rsidR="002D428F" w:rsidRPr="00423598" w:rsidRDefault="002D428F" w:rsidP="002D428F">
      <w:pPr>
        <w:autoSpaceDE w:val="0"/>
        <w:jc w:val="both"/>
      </w:pPr>
      <w:proofErr w:type="gramStart"/>
      <w:r w:rsidRPr="00423598">
        <w:t>with</w:t>
      </w:r>
      <w:proofErr w:type="gramEnd"/>
      <w:r w:rsidRPr="00423598">
        <w:t xml:space="preserve"> the following members taking part:</w:t>
      </w:r>
    </w:p>
    <w:p w:rsidR="002D428F" w:rsidRPr="00423598" w:rsidRDefault="002D428F" w:rsidP="002D428F">
      <w:pPr>
        <w:autoSpaceDE w:val="0"/>
        <w:jc w:val="both"/>
      </w:pPr>
    </w:p>
    <w:p w:rsidR="002D428F" w:rsidRPr="00423598" w:rsidRDefault="002D428F" w:rsidP="002D428F">
      <w:pPr>
        <w:autoSpaceDE w:val="0"/>
        <w:jc w:val="both"/>
      </w:pPr>
      <w:r w:rsidRPr="00423598">
        <w:t>Marek Nowicki, Presiding Member</w:t>
      </w:r>
    </w:p>
    <w:p w:rsidR="002D428F" w:rsidRPr="00423598" w:rsidRDefault="002D428F" w:rsidP="002D428F">
      <w:pPr>
        <w:autoSpaceDE w:val="0"/>
        <w:jc w:val="both"/>
      </w:pPr>
      <w:r w:rsidRPr="00423598">
        <w:t>Christine Chinkin</w:t>
      </w:r>
    </w:p>
    <w:p w:rsidR="002D428F" w:rsidRPr="00423598" w:rsidRDefault="002D428F" w:rsidP="002D428F">
      <w:pPr>
        <w:autoSpaceDE w:val="0"/>
        <w:jc w:val="both"/>
        <w:rPr>
          <w:color w:val="FF0000"/>
        </w:rPr>
      </w:pPr>
      <w:r w:rsidRPr="00423598">
        <w:t>Françoise Tulkens</w:t>
      </w:r>
    </w:p>
    <w:p w:rsidR="002D428F" w:rsidRPr="00423598" w:rsidRDefault="002D428F" w:rsidP="002D428F">
      <w:pPr>
        <w:autoSpaceDE w:val="0"/>
        <w:jc w:val="both"/>
      </w:pPr>
    </w:p>
    <w:p w:rsidR="002D428F" w:rsidRPr="00423598" w:rsidRDefault="002D428F" w:rsidP="002D428F">
      <w:pPr>
        <w:autoSpaceDE w:val="0"/>
        <w:jc w:val="both"/>
      </w:pPr>
      <w:r w:rsidRPr="00423598">
        <w:t>Assisted by</w:t>
      </w:r>
    </w:p>
    <w:p w:rsidR="002D428F" w:rsidRPr="00423598" w:rsidRDefault="002D428F" w:rsidP="002D428F">
      <w:pPr>
        <w:autoSpaceDE w:val="0"/>
        <w:jc w:val="both"/>
      </w:pPr>
    </w:p>
    <w:p w:rsidR="002D428F" w:rsidRPr="00423598" w:rsidRDefault="002D428F" w:rsidP="002D428F">
      <w:pPr>
        <w:autoSpaceDE w:val="0"/>
        <w:jc w:val="both"/>
      </w:pPr>
      <w:r w:rsidRPr="00423598">
        <w:t>Andrey Antonov, Executive Officer</w:t>
      </w:r>
    </w:p>
    <w:p w:rsidR="002D428F" w:rsidRPr="00423598" w:rsidRDefault="002D428F" w:rsidP="002D428F">
      <w:pPr>
        <w:autoSpaceDE w:val="0"/>
        <w:jc w:val="both"/>
      </w:pPr>
    </w:p>
    <w:p w:rsidR="002D428F" w:rsidRPr="00423598" w:rsidRDefault="002D428F" w:rsidP="002D428F">
      <w:pPr>
        <w:autoSpaceDE w:val="0"/>
        <w:jc w:val="both"/>
      </w:pPr>
    </w:p>
    <w:p w:rsidR="002D428F" w:rsidRPr="00423598" w:rsidRDefault="002D428F" w:rsidP="002D428F">
      <w:pPr>
        <w:autoSpaceDE w:val="0"/>
        <w:jc w:val="both"/>
      </w:pPr>
      <w:r w:rsidRPr="00423598">
        <w:t>Having considered the aforementioned complaints, introduced pursuant to Section 1.2 of UNMIK Regulation No. 2006/12 of 23 March 2006 on the establishment of the Human Rights Advisory Panel,</w:t>
      </w:r>
    </w:p>
    <w:p w:rsidR="002D428F" w:rsidRPr="00423598" w:rsidRDefault="002D428F" w:rsidP="002D428F">
      <w:pPr>
        <w:autoSpaceDE w:val="0"/>
        <w:jc w:val="both"/>
      </w:pPr>
    </w:p>
    <w:p w:rsidR="002D428F" w:rsidRPr="00423598" w:rsidRDefault="002D428F" w:rsidP="002D428F">
      <w:pPr>
        <w:autoSpaceDE w:val="0"/>
        <w:jc w:val="both"/>
      </w:pPr>
      <w:r w:rsidRPr="00423598">
        <w:t>Having deliberated, including through electronic means, in accordance with Rule 13 § 2 of its Rules of Procedure, makes the following findings and recommendations:</w:t>
      </w:r>
    </w:p>
    <w:p w:rsidR="00EC2041" w:rsidRPr="00423598" w:rsidRDefault="00EC2041" w:rsidP="00301DAC">
      <w:pPr>
        <w:autoSpaceDE w:val="0"/>
        <w:jc w:val="both"/>
        <w:rPr>
          <w:lang w:val="en-GB"/>
        </w:rPr>
      </w:pPr>
    </w:p>
    <w:p w:rsidR="00022E69" w:rsidRPr="00423598" w:rsidRDefault="00022E69" w:rsidP="000F7E70">
      <w:pPr>
        <w:autoSpaceDE w:val="0"/>
        <w:jc w:val="both"/>
        <w:rPr>
          <w:lang w:val="en-GB"/>
        </w:rPr>
      </w:pPr>
    </w:p>
    <w:p w:rsidR="0016154E" w:rsidRPr="00423598" w:rsidRDefault="0016154E" w:rsidP="00B50188">
      <w:pPr>
        <w:numPr>
          <w:ilvl w:val="0"/>
          <w:numId w:val="1"/>
        </w:numPr>
        <w:suppressAutoHyphens/>
        <w:autoSpaceDE w:val="0"/>
        <w:ind w:left="360" w:hanging="360"/>
        <w:jc w:val="both"/>
        <w:rPr>
          <w:b/>
          <w:bCs/>
          <w:lang w:val="en-GB"/>
        </w:rPr>
      </w:pPr>
      <w:r w:rsidRPr="00423598">
        <w:rPr>
          <w:b/>
          <w:bCs/>
          <w:lang w:val="en-GB"/>
        </w:rPr>
        <w:t>PROCEEDINGS BEFORE THE PANEL</w:t>
      </w:r>
    </w:p>
    <w:p w:rsidR="00E327E1" w:rsidRPr="00423598" w:rsidRDefault="00E327E1" w:rsidP="00E327E1">
      <w:pPr>
        <w:pStyle w:val="Default"/>
        <w:ind w:left="360"/>
        <w:jc w:val="both"/>
        <w:rPr>
          <w:color w:val="auto"/>
          <w:lang w:val="en-GB"/>
        </w:rPr>
      </w:pPr>
    </w:p>
    <w:p w:rsidR="00647FB1" w:rsidRPr="00423598" w:rsidRDefault="00647FB1" w:rsidP="00647FB1">
      <w:pPr>
        <w:pStyle w:val="Default"/>
        <w:numPr>
          <w:ilvl w:val="0"/>
          <w:numId w:val="2"/>
        </w:numPr>
        <w:jc w:val="both"/>
        <w:rPr>
          <w:lang w:val="en-GB"/>
        </w:rPr>
      </w:pPr>
      <w:r w:rsidRPr="00423598">
        <w:rPr>
          <w:lang w:val="en-GB"/>
        </w:rPr>
        <w:t>The complaint</w:t>
      </w:r>
      <w:r w:rsidR="009D27AD" w:rsidRPr="00423598">
        <w:rPr>
          <w:lang w:val="en-GB"/>
        </w:rPr>
        <w:t xml:space="preserve"> was introduced </w:t>
      </w:r>
      <w:r w:rsidR="00DD03C6" w:rsidRPr="00423598">
        <w:rPr>
          <w:lang w:val="en-GB"/>
        </w:rPr>
        <w:t>on 6 April 2009 and registered on 30 April 2009</w:t>
      </w:r>
      <w:r w:rsidRPr="00423598">
        <w:rPr>
          <w:lang w:val="en-GB"/>
        </w:rPr>
        <w:t xml:space="preserve">. </w:t>
      </w:r>
    </w:p>
    <w:p w:rsidR="00647FB1" w:rsidRPr="00423598" w:rsidRDefault="00647FB1" w:rsidP="00C45577">
      <w:pPr>
        <w:pStyle w:val="Default"/>
        <w:jc w:val="both"/>
        <w:rPr>
          <w:lang w:val="en-GB"/>
        </w:rPr>
      </w:pPr>
    </w:p>
    <w:p w:rsidR="00622236" w:rsidRPr="00423598" w:rsidRDefault="00DD03C6" w:rsidP="00DD03C6">
      <w:pPr>
        <w:pStyle w:val="Default"/>
        <w:numPr>
          <w:ilvl w:val="0"/>
          <w:numId w:val="2"/>
        </w:numPr>
        <w:jc w:val="both"/>
        <w:rPr>
          <w:lang w:val="en-GB"/>
        </w:rPr>
      </w:pPr>
      <w:r w:rsidRPr="00423598">
        <w:rPr>
          <w:lang w:val="en-GB"/>
        </w:rPr>
        <w:t>On 23 December 2009, the Panel requested the complainant to provide additional information. The Panel received the complainant’s response on 27 May 2010</w:t>
      </w:r>
      <w:r w:rsidR="00622236" w:rsidRPr="00423598">
        <w:rPr>
          <w:bCs/>
        </w:rPr>
        <w:t xml:space="preserve">. </w:t>
      </w:r>
    </w:p>
    <w:p w:rsidR="002E0AF3" w:rsidRPr="00423598" w:rsidRDefault="002E0AF3" w:rsidP="00622236">
      <w:pPr>
        <w:pStyle w:val="Default"/>
        <w:ind w:left="360"/>
        <w:jc w:val="both"/>
        <w:rPr>
          <w:lang w:val="en-GB"/>
        </w:rPr>
      </w:pPr>
    </w:p>
    <w:p w:rsidR="002E0AF3" w:rsidRPr="00423598" w:rsidRDefault="009D27AD" w:rsidP="00284A77">
      <w:pPr>
        <w:numPr>
          <w:ilvl w:val="0"/>
          <w:numId w:val="2"/>
        </w:numPr>
        <w:jc w:val="both"/>
        <w:rPr>
          <w:b/>
          <w:lang w:val="en-GB"/>
        </w:rPr>
      </w:pPr>
      <w:r w:rsidRPr="00423598">
        <w:rPr>
          <w:lang w:val="en-GB"/>
        </w:rPr>
        <w:t xml:space="preserve">On </w:t>
      </w:r>
      <w:r w:rsidR="00622236" w:rsidRPr="00423598">
        <w:rPr>
          <w:lang w:val="en-GB"/>
        </w:rPr>
        <w:t>2</w:t>
      </w:r>
      <w:r w:rsidR="00DD03C6" w:rsidRPr="00423598">
        <w:rPr>
          <w:lang w:val="en-GB"/>
        </w:rPr>
        <w:t>5</w:t>
      </w:r>
      <w:r w:rsidR="002948A6" w:rsidRPr="00423598">
        <w:rPr>
          <w:lang w:val="en-GB"/>
        </w:rPr>
        <w:t xml:space="preserve"> </w:t>
      </w:r>
      <w:r w:rsidR="00DD03C6" w:rsidRPr="00423598">
        <w:rPr>
          <w:lang w:val="en-GB"/>
        </w:rPr>
        <w:t xml:space="preserve">July </w:t>
      </w:r>
      <w:r w:rsidR="002948A6" w:rsidRPr="00423598">
        <w:rPr>
          <w:lang w:val="en-GB"/>
        </w:rPr>
        <w:t>2011</w:t>
      </w:r>
      <w:r w:rsidR="002E0AF3" w:rsidRPr="00423598">
        <w:rPr>
          <w:lang w:val="en-GB"/>
        </w:rPr>
        <w:t>, the complaint was communicated to the Special Representative of the Secretary-General (SRSG)</w:t>
      </w:r>
      <w:r w:rsidR="00022E69" w:rsidRPr="00423598">
        <w:rPr>
          <w:rStyle w:val="FootnoteReference"/>
          <w:lang w:val="en-GB"/>
        </w:rPr>
        <w:footnoteReference w:id="1"/>
      </w:r>
      <w:r w:rsidR="002E0AF3" w:rsidRPr="00423598">
        <w:rPr>
          <w:lang w:val="en-GB"/>
        </w:rPr>
        <w:t>, for UNMIK’s comments on the admi</w:t>
      </w:r>
      <w:r w:rsidR="00647FB1" w:rsidRPr="00423598">
        <w:rPr>
          <w:lang w:val="en-GB"/>
        </w:rPr>
        <w:t xml:space="preserve">ssibility of the complaint. On </w:t>
      </w:r>
      <w:r w:rsidR="00DD03C6" w:rsidRPr="00423598">
        <w:rPr>
          <w:lang w:val="en-GB"/>
        </w:rPr>
        <w:t xml:space="preserve">5 September </w:t>
      </w:r>
      <w:r w:rsidR="002948A6" w:rsidRPr="00423598">
        <w:rPr>
          <w:lang w:val="en-GB"/>
        </w:rPr>
        <w:t>2011</w:t>
      </w:r>
      <w:r w:rsidR="002E0AF3" w:rsidRPr="00423598">
        <w:rPr>
          <w:lang w:val="en-GB"/>
        </w:rPr>
        <w:t xml:space="preserve">, </w:t>
      </w:r>
      <w:r w:rsidR="00E35F59" w:rsidRPr="00423598">
        <w:rPr>
          <w:lang w:val="en-GB"/>
        </w:rPr>
        <w:t>the SRSG submitted UNMIK’s</w:t>
      </w:r>
      <w:r w:rsidR="002E0AF3" w:rsidRPr="00423598">
        <w:rPr>
          <w:lang w:val="en-GB"/>
        </w:rPr>
        <w:t xml:space="preserve"> response. </w:t>
      </w:r>
    </w:p>
    <w:p w:rsidR="00E327E1" w:rsidRPr="00423598" w:rsidRDefault="00E327E1" w:rsidP="00647FB1">
      <w:pPr>
        <w:rPr>
          <w:lang w:val="en-GB"/>
        </w:rPr>
      </w:pPr>
    </w:p>
    <w:p w:rsidR="00E327E1" w:rsidRPr="00423598" w:rsidRDefault="00E327E1" w:rsidP="00B50188">
      <w:pPr>
        <w:numPr>
          <w:ilvl w:val="0"/>
          <w:numId w:val="2"/>
        </w:numPr>
        <w:jc w:val="both"/>
        <w:rPr>
          <w:b/>
          <w:lang w:val="en-GB"/>
        </w:rPr>
      </w:pPr>
      <w:r w:rsidRPr="00423598">
        <w:rPr>
          <w:lang w:val="en-GB"/>
        </w:rPr>
        <w:t xml:space="preserve">On </w:t>
      </w:r>
      <w:r w:rsidR="00622236" w:rsidRPr="00423598">
        <w:rPr>
          <w:lang w:val="en-GB"/>
        </w:rPr>
        <w:t>1</w:t>
      </w:r>
      <w:r w:rsidR="00DD03C6" w:rsidRPr="00423598">
        <w:rPr>
          <w:lang w:val="en-GB"/>
        </w:rPr>
        <w:t>1</w:t>
      </w:r>
      <w:r w:rsidR="002948A6" w:rsidRPr="00423598">
        <w:rPr>
          <w:lang w:val="en-GB"/>
        </w:rPr>
        <w:t xml:space="preserve"> </w:t>
      </w:r>
      <w:r w:rsidR="00DD03C6" w:rsidRPr="00423598">
        <w:rPr>
          <w:lang w:val="en-GB"/>
        </w:rPr>
        <w:t>May</w:t>
      </w:r>
      <w:r w:rsidR="00622236" w:rsidRPr="00423598">
        <w:rPr>
          <w:lang w:val="en-GB"/>
        </w:rPr>
        <w:t xml:space="preserve"> </w:t>
      </w:r>
      <w:r w:rsidRPr="00423598">
        <w:rPr>
          <w:lang w:val="en-GB"/>
        </w:rPr>
        <w:t>201</w:t>
      </w:r>
      <w:r w:rsidR="00DD03C6" w:rsidRPr="00423598">
        <w:rPr>
          <w:lang w:val="en-GB"/>
        </w:rPr>
        <w:t>2</w:t>
      </w:r>
      <w:r w:rsidRPr="00423598">
        <w:rPr>
          <w:lang w:val="en-GB"/>
        </w:rPr>
        <w:t>, t</w:t>
      </w:r>
      <w:r w:rsidR="007766DD" w:rsidRPr="00423598">
        <w:rPr>
          <w:lang w:val="en-GB"/>
        </w:rPr>
        <w:t>he Panel declared the complaint</w:t>
      </w:r>
      <w:r w:rsidRPr="00423598">
        <w:rPr>
          <w:lang w:val="en-GB"/>
        </w:rPr>
        <w:t xml:space="preserve"> admissible</w:t>
      </w:r>
      <w:r w:rsidR="00E84691" w:rsidRPr="00423598">
        <w:rPr>
          <w:lang w:val="en-GB"/>
        </w:rPr>
        <w:t xml:space="preserve"> in part</w:t>
      </w:r>
      <w:r w:rsidR="004865D9" w:rsidRPr="00423598">
        <w:t>.</w:t>
      </w:r>
    </w:p>
    <w:p w:rsidR="00E327E1" w:rsidRPr="00423598" w:rsidRDefault="00E327E1" w:rsidP="00E327E1">
      <w:pPr>
        <w:pStyle w:val="Default"/>
        <w:ind w:left="360"/>
        <w:jc w:val="both"/>
        <w:rPr>
          <w:color w:val="auto"/>
          <w:lang w:val="en-GB"/>
        </w:rPr>
      </w:pPr>
    </w:p>
    <w:p w:rsidR="00672847" w:rsidRPr="00423598" w:rsidRDefault="00F855B3" w:rsidP="00622236">
      <w:pPr>
        <w:widowControl w:val="0"/>
        <w:numPr>
          <w:ilvl w:val="0"/>
          <w:numId w:val="2"/>
        </w:numPr>
        <w:tabs>
          <w:tab w:val="left" w:pos="1080"/>
        </w:tabs>
        <w:suppressAutoHyphens/>
        <w:jc w:val="both"/>
        <w:rPr>
          <w:lang w:val="en-GB"/>
        </w:rPr>
      </w:pPr>
      <w:r w:rsidRPr="00423598">
        <w:rPr>
          <w:lang w:val="en-GB"/>
        </w:rPr>
        <w:t xml:space="preserve">On </w:t>
      </w:r>
      <w:r w:rsidR="00E84691" w:rsidRPr="00423598">
        <w:rPr>
          <w:lang w:val="en-GB"/>
        </w:rPr>
        <w:t>15</w:t>
      </w:r>
      <w:r w:rsidR="00ED668C" w:rsidRPr="00423598">
        <w:rPr>
          <w:lang w:val="en-GB"/>
        </w:rPr>
        <w:t xml:space="preserve"> </w:t>
      </w:r>
      <w:r w:rsidR="00E84691" w:rsidRPr="00423598">
        <w:rPr>
          <w:lang w:val="en-GB"/>
        </w:rPr>
        <w:t>May 2012</w:t>
      </w:r>
      <w:r w:rsidR="00E327E1" w:rsidRPr="00423598">
        <w:rPr>
          <w:lang w:val="en-GB"/>
        </w:rPr>
        <w:t xml:space="preserve">, </w:t>
      </w:r>
      <w:r w:rsidRPr="00423598">
        <w:rPr>
          <w:lang w:val="en-GB"/>
        </w:rPr>
        <w:t>the Panel forwarded its decision to the SRSG requesting UNMIK’s comments on the merits of the complaint</w:t>
      </w:r>
      <w:r w:rsidR="00672847" w:rsidRPr="00423598">
        <w:rPr>
          <w:lang w:val="en-GB"/>
        </w:rPr>
        <w:t>, as well as copies of the investigative files relevant to the case.</w:t>
      </w:r>
      <w:r w:rsidR="00E84691" w:rsidRPr="00423598">
        <w:rPr>
          <w:lang w:val="en-GB"/>
        </w:rPr>
        <w:t xml:space="preserve"> On 7</w:t>
      </w:r>
      <w:r w:rsidR="002948A6" w:rsidRPr="00423598">
        <w:rPr>
          <w:lang w:val="en-GB"/>
        </w:rPr>
        <w:t xml:space="preserve"> </w:t>
      </w:r>
      <w:r w:rsidR="00E84691" w:rsidRPr="00423598">
        <w:rPr>
          <w:lang w:val="en-GB"/>
        </w:rPr>
        <w:t>August 2013</w:t>
      </w:r>
      <w:r w:rsidR="002948A6" w:rsidRPr="00423598">
        <w:rPr>
          <w:lang w:val="en-GB"/>
        </w:rPr>
        <w:t xml:space="preserve">, </w:t>
      </w:r>
      <w:r w:rsidR="00CC6B19" w:rsidRPr="00423598">
        <w:rPr>
          <w:lang w:val="en-GB"/>
        </w:rPr>
        <w:t>the SRSG provided UNMIK’s comments</w:t>
      </w:r>
      <w:r w:rsidR="009F6CF5" w:rsidRPr="00423598">
        <w:rPr>
          <w:lang w:val="en-GB"/>
        </w:rPr>
        <w:t xml:space="preserve"> on the merits of the </w:t>
      </w:r>
      <w:r w:rsidR="00672847" w:rsidRPr="00423598">
        <w:rPr>
          <w:lang w:val="en-GB"/>
        </w:rPr>
        <w:t xml:space="preserve">complaint, </w:t>
      </w:r>
      <w:r w:rsidR="0098749A" w:rsidRPr="00423598">
        <w:rPr>
          <w:lang w:val="en-GB"/>
        </w:rPr>
        <w:t xml:space="preserve">together with </w:t>
      </w:r>
      <w:r w:rsidR="002948A6" w:rsidRPr="00423598">
        <w:rPr>
          <w:lang w:val="en-GB"/>
        </w:rPr>
        <w:t>copies of</w:t>
      </w:r>
      <w:r w:rsidR="00954A3E" w:rsidRPr="00423598">
        <w:rPr>
          <w:lang w:val="en-GB"/>
        </w:rPr>
        <w:t xml:space="preserve"> the</w:t>
      </w:r>
      <w:r w:rsidR="002948A6" w:rsidRPr="00423598">
        <w:rPr>
          <w:lang w:val="en-GB"/>
        </w:rPr>
        <w:t xml:space="preserve"> investigative files</w:t>
      </w:r>
      <w:r w:rsidR="00CC6B19" w:rsidRPr="00423598">
        <w:rPr>
          <w:lang w:val="en-GB"/>
        </w:rPr>
        <w:t>.</w:t>
      </w:r>
    </w:p>
    <w:p w:rsidR="00CE1F33" w:rsidRPr="00423598" w:rsidRDefault="00CE1F33" w:rsidP="00CE1F33">
      <w:pPr>
        <w:pStyle w:val="ListParagraph"/>
        <w:rPr>
          <w:lang w:val="en-GB"/>
        </w:rPr>
      </w:pPr>
    </w:p>
    <w:p w:rsidR="00CE1F33" w:rsidRPr="00423598" w:rsidRDefault="00647FB1" w:rsidP="00B50188">
      <w:pPr>
        <w:pStyle w:val="Default"/>
        <w:numPr>
          <w:ilvl w:val="0"/>
          <w:numId w:val="2"/>
        </w:numPr>
        <w:jc w:val="both"/>
        <w:rPr>
          <w:color w:val="auto"/>
          <w:lang w:val="en-GB"/>
        </w:rPr>
      </w:pPr>
      <w:bookmarkStart w:id="0" w:name="_Ref373944367"/>
      <w:r w:rsidRPr="00423598">
        <w:rPr>
          <w:color w:val="auto"/>
          <w:lang w:val="en-GB"/>
        </w:rPr>
        <w:t xml:space="preserve">On </w:t>
      </w:r>
      <w:r w:rsidR="00E84691" w:rsidRPr="00423598">
        <w:rPr>
          <w:color w:val="auto"/>
          <w:lang w:val="en-GB"/>
        </w:rPr>
        <w:t>29 September</w:t>
      </w:r>
      <w:r w:rsidR="00EF14C3" w:rsidRPr="00423598">
        <w:rPr>
          <w:color w:val="auto"/>
          <w:lang w:val="en-GB"/>
        </w:rPr>
        <w:t xml:space="preserve"> </w:t>
      </w:r>
      <w:r w:rsidR="00ED668C" w:rsidRPr="00423598">
        <w:rPr>
          <w:color w:val="auto"/>
          <w:lang w:val="en-GB"/>
        </w:rPr>
        <w:t>2014</w:t>
      </w:r>
      <w:r w:rsidR="00CE1F33" w:rsidRPr="00423598">
        <w:rPr>
          <w:color w:val="auto"/>
          <w:lang w:val="en-GB"/>
        </w:rPr>
        <w:t>, the Pa</w:t>
      </w:r>
      <w:r w:rsidR="00764FB4" w:rsidRPr="00423598">
        <w:rPr>
          <w:color w:val="auto"/>
          <w:lang w:val="en-GB"/>
        </w:rPr>
        <w:t>nel requested UNMIK to confirm i</w:t>
      </w:r>
      <w:r w:rsidR="00CE1F33" w:rsidRPr="00423598">
        <w:rPr>
          <w:color w:val="auto"/>
          <w:lang w:val="en-GB"/>
        </w:rPr>
        <w:t>f the disclosure of files concerning the case could be considered final.</w:t>
      </w:r>
      <w:r w:rsidR="00121E9E" w:rsidRPr="00423598">
        <w:rPr>
          <w:color w:val="auto"/>
          <w:lang w:val="en-GB"/>
        </w:rPr>
        <w:t xml:space="preserve"> </w:t>
      </w:r>
      <w:bookmarkStart w:id="1" w:name="_Ref368060542"/>
      <w:r w:rsidR="00E84691" w:rsidRPr="00423598">
        <w:rPr>
          <w:color w:val="auto"/>
          <w:lang w:val="en-GB"/>
        </w:rPr>
        <w:t>On 6 October</w:t>
      </w:r>
      <w:r w:rsidR="002948A6" w:rsidRPr="00423598">
        <w:rPr>
          <w:color w:val="auto"/>
          <w:lang w:val="en-GB"/>
        </w:rPr>
        <w:t xml:space="preserve"> 2014</w:t>
      </w:r>
      <w:r w:rsidR="00CE1F33" w:rsidRPr="00423598">
        <w:rPr>
          <w:color w:val="auto"/>
          <w:lang w:val="en-GB"/>
        </w:rPr>
        <w:t>, UNMIK provided its response</w:t>
      </w:r>
      <w:bookmarkEnd w:id="0"/>
      <w:bookmarkEnd w:id="1"/>
      <w:r w:rsidR="002948A6" w:rsidRPr="00423598">
        <w:rPr>
          <w:color w:val="auto"/>
          <w:lang w:val="en-GB"/>
        </w:rPr>
        <w:t>.</w:t>
      </w:r>
    </w:p>
    <w:p w:rsidR="00121E9E" w:rsidRPr="00423598" w:rsidRDefault="00121E9E" w:rsidP="001F3C32">
      <w:pPr>
        <w:rPr>
          <w:lang w:val="en-GB"/>
        </w:rPr>
      </w:pPr>
    </w:p>
    <w:p w:rsidR="00121E9E" w:rsidRPr="00423598" w:rsidRDefault="00121E9E" w:rsidP="008766C9">
      <w:pPr>
        <w:pStyle w:val="ListParagraph"/>
        <w:rPr>
          <w:lang w:val="en-GB"/>
        </w:rPr>
      </w:pPr>
    </w:p>
    <w:p w:rsidR="000F6E16" w:rsidRPr="00423598" w:rsidRDefault="007C65E0" w:rsidP="00B50188">
      <w:pPr>
        <w:numPr>
          <w:ilvl w:val="0"/>
          <w:numId w:val="1"/>
        </w:numPr>
        <w:suppressAutoHyphens/>
        <w:autoSpaceDE w:val="0"/>
        <w:ind w:left="360" w:hanging="360"/>
        <w:jc w:val="both"/>
        <w:rPr>
          <w:b/>
          <w:bCs/>
          <w:lang w:val="en-GB"/>
        </w:rPr>
      </w:pPr>
      <w:r w:rsidRPr="00423598">
        <w:rPr>
          <w:b/>
          <w:bCs/>
          <w:lang w:val="en-GB"/>
        </w:rPr>
        <w:t>THE FACTS</w:t>
      </w:r>
    </w:p>
    <w:p w:rsidR="000F6E16" w:rsidRPr="00423598" w:rsidRDefault="000F6E16" w:rsidP="000F6E16">
      <w:pPr>
        <w:suppressAutoHyphens/>
        <w:autoSpaceDE w:val="0"/>
        <w:ind w:left="360"/>
        <w:jc w:val="both"/>
        <w:rPr>
          <w:b/>
          <w:bCs/>
          <w:lang w:val="en-GB"/>
        </w:rPr>
      </w:pPr>
    </w:p>
    <w:p w:rsidR="00680EF0" w:rsidRPr="00423598" w:rsidRDefault="00680EF0" w:rsidP="00B50188">
      <w:pPr>
        <w:numPr>
          <w:ilvl w:val="0"/>
          <w:numId w:val="3"/>
        </w:numPr>
        <w:contextualSpacing/>
        <w:jc w:val="both"/>
        <w:rPr>
          <w:b/>
          <w:lang w:val="en-GB"/>
        </w:rPr>
      </w:pPr>
      <w:r w:rsidRPr="00423598">
        <w:rPr>
          <w:b/>
          <w:lang w:val="en-GB"/>
        </w:rPr>
        <w:t>General background</w:t>
      </w:r>
      <w:r w:rsidRPr="00423598">
        <w:rPr>
          <w:rStyle w:val="FootnoteReference"/>
          <w:b/>
          <w:lang w:val="en-GB"/>
        </w:rPr>
        <w:footnoteReference w:id="2"/>
      </w:r>
      <w:r w:rsidRPr="00423598">
        <w:rPr>
          <w:b/>
          <w:lang w:val="en-GB"/>
        </w:rPr>
        <w:t xml:space="preserve"> </w:t>
      </w:r>
    </w:p>
    <w:p w:rsidR="00680EF0" w:rsidRPr="00423598" w:rsidRDefault="00680EF0" w:rsidP="00680EF0">
      <w:pPr>
        <w:ind w:left="360"/>
        <w:contextualSpacing/>
        <w:jc w:val="both"/>
        <w:rPr>
          <w:b/>
          <w:lang w:val="en-GB"/>
        </w:rPr>
      </w:pPr>
    </w:p>
    <w:p w:rsidR="00574094" w:rsidRPr="00423598" w:rsidRDefault="00574094" w:rsidP="00574094">
      <w:pPr>
        <w:pStyle w:val="ListParagraph"/>
        <w:numPr>
          <w:ilvl w:val="0"/>
          <w:numId w:val="2"/>
        </w:numPr>
        <w:jc w:val="both"/>
        <w:rPr>
          <w:lang w:val="en-GB"/>
        </w:rPr>
      </w:pPr>
      <w:r w:rsidRPr="00423598">
        <w:rPr>
          <w:lang w:val="en-GB"/>
        </w:rPr>
        <w:t>The events at issue took place in the territory of Kosovo</w:t>
      </w:r>
      <w:r w:rsidR="002948A6" w:rsidRPr="00423598">
        <w:rPr>
          <w:lang w:val="en-GB"/>
        </w:rPr>
        <w:t xml:space="preserve"> </w:t>
      </w:r>
      <w:r w:rsidR="00622236" w:rsidRPr="00423598">
        <w:rPr>
          <w:lang w:val="en-GB"/>
        </w:rPr>
        <w:t>shortly</w:t>
      </w:r>
      <w:r w:rsidRPr="00423598">
        <w:rPr>
          <w:lang w:val="en-GB"/>
        </w:rPr>
        <w:t xml:space="preserve"> after the establishment in June 1999 of the United Nations Interim Administration Mission in Kosovo (UNMIK).</w:t>
      </w:r>
    </w:p>
    <w:p w:rsidR="00C75A82" w:rsidRPr="00423598" w:rsidRDefault="00C75A82" w:rsidP="00C75A82">
      <w:pPr>
        <w:tabs>
          <w:tab w:val="left" w:pos="360"/>
        </w:tabs>
        <w:ind w:left="360" w:hanging="360"/>
        <w:jc w:val="both"/>
        <w:rPr>
          <w:lang w:val="en-GB"/>
        </w:rPr>
      </w:pPr>
    </w:p>
    <w:p w:rsidR="00C75A82" w:rsidRPr="00423598" w:rsidRDefault="00C75A82" w:rsidP="00B50188">
      <w:pPr>
        <w:widowControl w:val="0"/>
        <w:numPr>
          <w:ilvl w:val="0"/>
          <w:numId w:val="2"/>
        </w:numPr>
        <w:tabs>
          <w:tab w:val="left" w:pos="1080"/>
        </w:tabs>
        <w:suppressAutoHyphens/>
        <w:jc w:val="both"/>
        <w:rPr>
          <w:lang w:val="en-GB"/>
        </w:rPr>
      </w:pPr>
      <w:r w:rsidRPr="00423598">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w:t>
      </w:r>
      <w:r w:rsidRPr="00423598">
        <w:rPr>
          <w:lang w:val="en-GB"/>
        </w:rPr>
        <w:lastRenderedPageBreak/>
        <w:t>security force following an appropriate UN Security Council Resolution.</w:t>
      </w:r>
    </w:p>
    <w:p w:rsidR="00C75A82" w:rsidRPr="00423598" w:rsidRDefault="00C75A82" w:rsidP="00C75A82">
      <w:pPr>
        <w:tabs>
          <w:tab w:val="left" w:pos="360"/>
        </w:tabs>
        <w:ind w:left="360" w:hanging="360"/>
        <w:jc w:val="both"/>
        <w:rPr>
          <w:lang w:val="en-GB"/>
        </w:rPr>
      </w:pPr>
    </w:p>
    <w:p w:rsidR="00C75A82" w:rsidRPr="00423598" w:rsidRDefault="00FE0FB0" w:rsidP="00FE0FB0">
      <w:pPr>
        <w:pStyle w:val="ListParagraph"/>
        <w:numPr>
          <w:ilvl w:val="0"/>
          <w:numId w:val="2"/>
        </w:numPr>
        <w:suppressAutoHyphens w:val="0"/>
        <w:contextualSpacing/>
        <w:jc w:val="both"/>
        <w:rPr>
          <w:lang w:val="en-GB"/>
        </w:rPr>
      </w:pPr>
      <w:bookmarkStart w:id="2" w:name="_Ref373941473"/>
      <w:r w:rsidRPr="00423598">
        <w:rPr>
          <w:lang w:val="en-GB"/>
        </w:rPr>
        <w:t>O</w:t>
      </w:r>
      <w:r w:rsidR="00C75A82" w:rsidRPr="00423598">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2"/>
    </w:p>
    <w:p w:rsidR="00C75A82" w:rsidRPr="00423598" w:rsidRDefault="00C75A82" w:rsidP="00C75A82">
      <w:pPr>
        <w:tabs>
          <w:tab w:val="left" w:pos="360"/>
        </w:tabs>
        <w:ind w:left="360" w:hanging="360"/>
        <w:jc w:val="both"/>
        <w:rPr>
          <w:lang w:val="en-GB"/>
        </w:rPr>
      </w:pPr>
    </w:p>
    <w:p w:rsidR="00C75A82" w:rsidRPr="00423598" w:rsidRDefault="00C75A82" w:rsidP="00B50188">
      <w:pPr>
        <w:pStyle w:val="ListParagraph"/>
        <w:numPr>
          <w:ilvl w:val="0"/>
          <w:numId w:val="2"/>
        </w:numPr>
        <w:suppressAutoHyphens w:val="0"/>
        <w:contextualSpacing/>
        <w:jc w:val="both"/>
        <w:rPr>
          <w:lang w:val="en-GB"/>
        </w:rPr>
      </w:pPr>
      <w:r w:rsidRPr="00423598">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423598" w:rsidRDefault="00C75A82" w:rsidP="00C75A82">
      <w:pPr>
        <w:pStyle w:val="ListParagraph"/>
        <w:tabs>
          <w:tab w:val="left" w:pos="360"/>
        </w:tabs>
        <w:ind w:left="360" w:hanging="360"/>
        <w:rPr>
          <w:lang w:val="en-GB"/>
        </w:rPr>
      </w:pPr>
    </w:p>
    <w:p w:rsidR="00C75A82" w:rsidRPr="00423598" w:rsidRDefault="00C75A82" w:rsidP="00B50188">
      <w:pPr>
        <w:pStyle w:val="ListParagraph"/>
        <w:numPr>
          <w:ilvl w:val="0"/>
          <w:numId w:val="2"/>
        </w:numPr>
        <w:suppressAutoHyphens w:val="0"/>
        <w:contextualSpacing/>
        <w:jc w:val="both"/>
        <w:rPr>
          <w:lang w:val="en-GB"/>
        </w:rPr>
      </w:pPr>
      <w:r w:rsidRPr="00423598">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423598" w:rsidRDefault="00C75A82" w:rsidP="00C75A82">
      <w:pPr>
        <w:pStyle w:val="ListParagraph"/>
        <w:tabs>
          <w:tab w:val="left" w:pos="360"/>
        </w:tabs>
        <w:ind w:left="360" w:hanging="360"/>
        <w:rPr>
          <w:lang w:val="en-GB"/>
        </w:rPr>
      </w:pPr>
    </w:p>
    <w:p w:rsidR="00C75A82" w:rsidRPr="00423598" w:rsidRDefault="00C75A82" w:rsidP="00B50188">
      <w:pPr>
        <w:pStyle w:val="ListParagraph"/>
        <w:numPr>
          <w:ilvl w:val="0"/>
          <w:numId w:val="2"/>
        </w:numPr>
        <w:suppressAutoHyphens w:val="0"/>
        <w:contextualSpacing/>
        <w:jc w:val="both"/>
        <w:rPr>
          <w:lang w:val="en-GB"/>
        </w:rPr>
      </w:pPr>
      <w:r w:rsidRPr="00423598">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423598" w:rsidRDefault="00C75A82" w:rsidP="00C75A82">
      <w:pPr>
        <w:tabs>
          <w:tab w:val="left" w:pos="360"/>
        </w:tabs>
        <w:ind w:left="360" w:hanging="360"/>
        <w:jc w:val="both"/>
        <w:rPr>
          <w:lang w:val="en-GB"/>
        </w:rPr>
      </w:pPr>
    </w:p>
    <w:p w:rsidR="00C75A82" w:rsidRPr="00423598" w:rsidRDefault="00C75A82" w:rsidP="00B50188">
      <w:pPr>
        <w:numPr>
          <w:ilvl w:val="0"/>
          <w:numId w:val="2"/>
        </w:numPr>
        <w:jc w:val="both"/>
        <w:rPr>
          <w:lang w:val="en-GB"/>
        </w:rPr>
      </w:pPr>
      <w:r w:rsidRPr="00423598">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423598">
        <w:rPr>
          <w:lang w:val="en-GB"/>
        </w:rPr>
        <w:lastRenderedPageBreak/>
        <w:t xml:space="preserve">development of a Kosovo police service. By September 1999, approximately 1,100 international police officers had been deployed to UNMIK.  </w:t>
      </w:r>
    </w:p>
    <w:p w:rsidR="00C75A82" w:rsidRPr="00423598" w:rsidRDefault="00C75A82" w:rsidP="00C75A82">
      <w:pPr>
        <w:pStyle w:val="ListParagraph"/>
        <w:tabs>
          <w:tab w:val="left" w:pos="360"/>
        </w:tabs>
        <w:ind w:left="360" w:hanging="360"/>
        <w:rPr>
          <w:lang w:val="en-GB"/>
        </w:rPr>
      </w:pPr>
    </w:p>
    <w:p w:rsidR="00C75A82" w:rsidRPr="00423598" w:rsidRDefault="00C75A82" w:rsidP="00B50188">
      <w:pPr>
        <w:numPr>
          <w:ilvl w:val="0"/>
          <w:numId w:val="2"/>
        </w:numPr>
        <w:jc w:val="both"/>
        <w:rPr>
          <w:lang w:val="en-GB"/>
        </w:rPr>
      </w:pPr>
      <w:bookmarkStart w:id="3" w:name="_Ref346725038"/>
      <w:r w:rsidRPr="00423598">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3"/>
      <w:r w:rsidRPr="00423598">
        <w:rPr>
          <w:lang w:val="en-GB"/>
        </w:rPr>
        <w:t xml:space="preserve"> </w:t>
      </w:r>
    </w:p>
    <w:p w:rsidR="00C75A82" w:rsidRPr="00423598" w:rsidRDefault="00C75A82" w:rsidP="00C75A82">
      <w:pPr>
        <w:tabs>
          <w:tab w:val="left" w:pos="360"/>
        </w:tabs>
        <w:ind w:left="360" w:hanging="360"/>
        <w:jc w:val="both"/>
        <w:rPr>
          <w:lang w:val="en-GB"/>
        </w:rPr>
      </w:pPr>
    </w:p>
    <w:p w:rsidR="00C75A82" w:rsidRPr="00423598" w:rsidRDefault="00C75A82" w:rsidP="00B50188">
      <w:pPr>
        <w:numPr>
          <w:ilvl w:val="0"/>
          <w:numId w:val="2"/>
        </w:numPr>
        <w:jc w:val="both"/>
        <w:rPr>
          <w:lang w:val="en-GB"/>
        </w:rPr>
      </w:pPr>
      <w:bookmarkStart w:id="4" w:name="_Ref346123767"/>
      <w:r w:rsidRPr="00423598">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4"/>
      <w:r w:rsidRPr="00423598">
        <w:rPr>
          <w:lang w:val="en-GB"/>
        </w:rPr>
        <w:t xml:space="preserve"> </w:t>
      </w:r>
    </w:p>
    <w:p w:rsidR="00C75A82" w:rsidRPr="00423598" w:rsidRDefault="00C75A82" w:rsidP="00C75A82">
      <w:pPr>
        <w:tabs>
          <w:tab w:val="left" w:pos="360"/>
        </w:tabs>
        <w:ind w:left="360" w:hanging="360"/>
        <w:jc w:val="both"/>
        <w:rPr>
          <w:lang w:val="en-GB"/>
        </w:rPr>
      </w:pPr>
    </w:p>
    <w:p w:rsidR="00C75A82" w:rsidRPr="00423598" w:rsidRDefault="00C75A82" w:rsidP="00B50188">
      <w:pPr>
        <w:numPr>
          <w:ilvl w:val="0"/>
          <w:numId w:val="2"/>
        </w:numPr>
        <w:jc w:val="both"/>
        <w:rPr>
          <w:lang w:val="en-GB"/>
        </w:rPr>
      </w:pPr>
      <w:bookmarkStart w:id="5" w:name="_Ref346725040"/>
      <w:r w:rsidRPr="00423598">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423598">
        <w:rPr>
          <w:lang w:val="en-GB"/>
        </w:rPr>
        <w:t>persons</w:t>
      </w:r>
      <w:proofErr w:type="gramEnd"/>
      <w:r w:rsidRPr="00423598">
        <w:rPr>
          <w:lang w:val="en-GB"/>
        </w:rPr>
        <w:t xml:space="preserve"> cases in Kosovo. In May 2000, a Victim Recovery and Identification Commission (VRIC) chaired by UNMIK </w:t>
      </w:r>
      <w:proofErr w:type="gramStart"/>
      <w:r w:rsidRPr="00423598">
        <w:rPr>
          <w:lang w:val="en-GB"/>
        </w:rPr>
        <w:t>was</w:t>
      </w:r>
      <w:proofErr w:type="gramEnd"/>
      <w:r w:rsidRPr="00423598">
        <w:rPr>
          <w:lang w:val="en-GB"/>
        </w:rPr>
        <w:t xml:space="preserve"> created for the recovery, identification and disposition of mortal remains.</w:t>
      </w:r>
      <w:r w:rsidR="00423598" w:rsidRPr="00423598">
        <w:rPr>
          <w:lang w:val="en-GB"/>
        </w:rPr>
        <w:t xml:space="preserve"> </w:t>
      </w:r>
      <w:r w:rsidR="00423598" w:rsidRPr="00423598">
        <w:rPr>
          <w:lang w:val="en-GB"/>
        </w:rPr>
        <w:t>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423598">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423598">
        <w:rPr>
          <w:lang w:val="en-GB"/>
        </w:rPr>
        <w:t>persons,</w:t>
      </w:r>
      <w:proofErr w:type="gramEnd"/>
      <w:r w:rsidRPr="00423598">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5"/>
      <w:r w:rsidRPr="00423598">
        <w:rPr>
          <w:lang w:val="en-GB"/>
        </w:rPr>
        <w:t xml:space="preserve"> </w:t>
      </w:r>
    </w:p>
    <w:p w:rsidR="00C75A82" w:rsidRPr="00423598" w:rsidRDefault="00C75A82" w:rsidP="00C75A82">
      <w:pPr>
        <w:tabs>
          <w:tab w:val="left" w:pos="360"/>
        </w:tabs>
        <w:ind w:left="360" w:hanging="360"/>
        <w:jc w:val="both"/>
        <w:rPr>
          <w:lang w:val="en-GB"/>
        </w:rPr>
      </w:pPr>
    </w:p>
    <w:p w:rsidR="00C75A82" w:rsidRPr="00423598" w:rsidRDefault="00C75A82" w:rsidP="00B50188">
      <w:pPr>
        <w:numPr>
          <w:ilvl w:val="0"/>
          <w:numId w:val="2"/>
        </w:numPr>
        <w:jc w:val="both"/>
        <w:rPr>
          <w:lang w:val="en-GB"/>
        </w:rPr>
      </w:pPr>
      <w:bookmarkStart w:id="6" w:name="_Ref346123927"/>
      <w:r w:rsidRPr="00423598">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6"/>
    </w:p>
    <w:p w:rsidR="00C75A82" w:rsidRPr="00423598" w:rsidRDefault="00C75A82" w:rsidP="00C75A82">
      <w:pPr>
        <w:pStyle w:val="ListParagraph"/>
        <w:tabs>
          <w:tab w:val="left" w:pos="360"/>
        </w:tabs>
        <w:ind w:left="360" w:hanging="360"/>
        <w:rPr>
          <w:lang w:val="en-GB"/>
        </w:rPr>
      </w:pPr>
    </w:p>
    <w:p w:rsidR="00680EF0" w:rsidRPr="00423598" w:rsidRDefault="00C75A82" w:rsidP="00B50188">
      <w:pPr>
        <w:numPr>
          <w:ilvl w:val="0"/>
          <w:numId w:val="2"/>
        </w:numPr>
        <w:jc w:val="both"/>
        <w:rPr>
          <w:lang w:val="en-GB"/>
        </w:rPr>
      </w:pPr>
      <w:bookmarkStart w:id="7" w:name="_Ref346123928"/>
      <w:r w:rsidRPr="00423598">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423598">
        <w:rPr>
          <w:lang w:val="en-GB"/>
        </w:rPr>
        <w:t xml:space="preserve">supposed to be </w:t>
      </w:r>
      <w:r w:rsidRPr="00423598">
        <w:rPr>
          <w:lang w:val="en-GB"/>
        </w:rPr>
        <w:t>handed over to EULEX.</w:t>
      </w:r>
      <w:bookmarkEnd w:id="7"/>
    </w:p>
    <w:p w:rsidR="00242881" w:rsidRPr="00423598" w:rsidRDefault="00242881" w:rsidP="00A73D67">
      <w:pPr>
        <w:ind w:left="360"/>
        <w:jc w:val="both"/>
        <w:rPr>
          <w:lang w:val="en-GB"/>
        </w:rPr>
      </w:pPr>
    </w:p>
    <w:p w:rsidR="00647FB1" w:rsidRPr="00423598" w:rsidRDefault="00A73D67" w:rsidP="00647FB1">
      <w:pPr>
        <w:pStyle w:val="ListParagraph"/>
        <w:numPr>
          <w:ilvl w:val="0"/>
          <w:numId w:val="3"/>
        </w:numPr>
        <w:autoSpaceDE w:val="0"/>
        <w:jc w:val="both"/>
        <w:rPr>
          <w:lang w:val="en-GB"/>
        </w:rPr>
      </w:pPr>
      <w:r w:rsidRPr="00423598">
        <w:rPr>
          <w:b/>
          <w:bCs/>
          <w:lang w:val="en-GB"/>
        </w:rPr>
        <w:t>Circumstances surrounding the</w:t>
      </w:r>
      <w:r w:rsidR="00622236" w:rsidRPr="00423598">
        <w:rPr>
          <w:b/>
          <w:bCs/>
          <w:lang w:val="en-GB"/>
        </w:rPr>
        <w:t xml:space="preserve"> </w:t>
      </w:r>
      <w:r w:rsidR="00954A3E" w:rsidRPr="00423598">
        <w:rPr>
          <w:b/>
          <w:bCs/>
          <w:lang w:val="en-GB"/>
        </w:rPr>
        <w:t>abduction</w:t>
      </w:r>
      <w:r w:rsidR="00622236" w:rsidRPr="00423598">
        <w:rPr>
          <w:b/>
          <w:bCs/>
          <w:lang w:val="en-GB"/>
        </w:rPr>
        <w:t xml:space="preserve"> and</w:t>
      </w:r>
      <w:r w:rsidRPr="00423598">
        <w:rPr>
          <w:b/>
          <w:bCs/>
          <w:lang w:val="en-GB"/>
        </w:rPr>
        <w:t xml:space="preserve"> </w:t>
      </w:r>
      <w:r w:rsidR="00423598" w:rsidRPr="00423598">
        <w:rPr>
          <w:b/>
          <w:bCs/>
          <w:lang w:val="en-GB"/>
        </w:rPr>
        <w:t>killing</w:t>
      </w:r>
      <w:r w:rsidR="00E77C72" w:rsidRPr="00423598">
        <w:rPr>
          <w:b/>
          <w:bCs/>
          <w:lang w:val="en-GB"/>
        </w:rPr>
        <w:t xml:space="preserve"> </w:t>
      </w:r>
      <w:r w:rsidR="00CE1874" w:rsidRPr="00423598">
        <w:rPr>
          <w:b/>
          <w:bCs/>
          <w:lang w:val="en-GB"/>
        </w:rPr>
        <w:t xml:space="preserve">of Mr </w:t>
      </w:r>
      <w:r w:rsidR="004F45E5" w:rsidRPr="00423598">
        <w:rPr>
          <w:b/>
          <w:bCs/>
          <w:lang w:val="en-GB"/>
        </w:rPr>
        <w:t>Rade</w:t>
      </w:r>
      <w:r w:rsidR="002948A6" w:rsidRPr="00423598">
        <w:rPr>
          <w:b/>
          <w:bCs/>
          <w:lang w:val="en-GB"/>
        </w:rPr>
        <w:t xml:space="preserve"> </w:t>
      </w:r>
      <w:r w:rsidR="004F45E5" w:rsidRPr="00423598">
        <w:rPr>
          <w:b/>
          <w:bCs/>
          <w:lang w:val="en-GB"/>
        </w:rPr>
        <w:t>Budimir</w:t>
      </w:r>
    </w:p>
    <w:p w:rsidR="002948A6" w:rsidRPr="00423598" w:rsidRDefault="002948A6" w:rsidP="002948A6">
      <w:pPr>
        <w:pStyle w:val="ListParagraph"/>
        <w:autoSpaceDE w:val="0"/>
        <w:ind w:left="360"/>
        <w:jc w:val="both"/>
        <w:rPr>
          <w:lang w:val="en-GB"/>
        </w:rPr>
      </w:pPr>
    </w:p>
    <w:p w:rsidR="00E84691" w:rsidRPr="00423598" w:rsidRDefault="00E84691" w:rsidP="00E84691">
      <w:pPr>
        <w:numPr>
          <w:ilvl w:val="0"/>
          <w:numId w:val="2"/>
        </w:numPr>
        <w:jc w:val="both"/>
        <w:rPr>
          <w:lang w:val="en-GB"/>
        </w:rPr>
      </w:pPr>
      <w:r w:rsidRPr="00423598">
        <w:rPr>
          <w:lang w:val="en-GB"/>
        </w:rPr>
        <w:t>The complainant is the widow of Mr Rade Budimir.</w:t>
      </w:r>
    </w:p>
    <w:p w:rsidR="00E84691" w:rsidRPr="00423598" w:rsidRDefault="00E84691" w:rsidP="00E84691">
      <w:pPr>
        <w:ind w:left="360"/>
        <w:jc w:val="both"/>
        <w:rPr>
          <w:lang w:val="en-GB"/>
        </w:rPr>
      </w:pPr>
    </w:p>
    <w:p w:rsidR="00E84691" w:rsidRPr="00423598" w:rsidRDefault="00E84691" w:rsidP="00E84691">
      <w:pPr>
        <w:numPr>
          <w:ilvl w:val="0"/>
          <w:numId w:val="2"/>
        </w:numPr>
        <w:jc w:val="both"/>
        <w:rPr>
          <w:lang w:val="en-GB"/>
        </w:rPr>
      </w:pPr>
      <w:r w:rsidRPr="00423598">
        <w:rPr>
          <w:lang w:val="en-GB"/>
        </w:rPr>
        <w:t>The complainant states that on 2 August 1999, Mr Rade Budimir was abducted from his mother’s apartment in Prishtinë/Priština.</w:t>
      </w:r>
      <w:r w:rsidR="005F689D" w:rsidRPr="00423598">
        <w:rPr>
          <w:lang w:val="en-GB"/>
        </w:rPr>
        <w:t xml:space="preserve"> He was not seen alive again.</w:t>
      </w:r>
    </w:p>
    <w:p w:rsidR="00516234" w:rsidRPr="00423598" w:rsidRDefault="00516234" w:rsidP="00516234">
      <w:pPr>
        <w:pStyle w:val="ListParagraph"/>
        <w:rPr>
          <w:lang w:val="en-GB"/>
        </w:rPr>
      </w:pPr>
    </w:p>
    <w:p w:rsidR="00516234" w:rsidRPr="00423598" w:rsidRDefault="00516234" w:rsidP="00E84691">
      <w:pPr>
        <w:numPr>
          <w:ilvl w:val="0"/>
          <w:numId w:val="2"/>
        </w:numPr>
        <w:jc w:val="both"/>
        <w:rPr>
          <w:lang w:val="en-GB"/>
        </w:rPr>
      </w:pPr>
      <w:r w:rsidRPr="00423598">
        <w:rPr>
          <w:lang w:val="en-GB"/>
        </w:rPr>
        <w:t xml:space="preserve">The complainant also states that on 5 August 1999, four Albanians were arrested in Mr Rade Budimir’s flat by KFOR soldiers. She states that, in the presence of his brother, Mr Rade Budimir’s house keys were found on the Albanians and the KFOR </w:t>
      </w:r>
      <w:proofErr w:type="gramStart"/>
      <w:r w:rsidRPr="00423598">
        <w:rPr>
          <w:lang w:val="en-GB"/>
        </w:rPr>
        <w:t>soldiers made</w:t>
      </w:r>
      <w:proofErr w:type="gramEnd"/>
      <w:r w:rsidRPr="00423598">
        <w:rPr>
          <w:lang w:val="en-GB"/>
        </w:rPr>
        <w:t xml:space="preserve"> a report of the incident, which</w:t>
      </w:r>
      <w:r w:rsidR="00021480" w:rsidRPr="00423598">
        <w:rPr>
          <w:lang w:val="en-GB"/>
        </w:rPr>
        <w:t xml:space="preserve"> neither</w:t>
      </w:r>
      <w:r w:rsidRPr="00423598">
        <w:rPr>
          <w:lang w:val="en-GB"/>
        </w:rPr>
        <w:t xml:space="preserve"> Mr Rade Budimir’</w:t>
      </w:r>
      <w:r w:rsidR="009F155A" w:rsidRPr="00423598">
        <w:rPr>
          <w:lang w:val="en-GB"/>
        </w:rPr>
        <w:t>s brother nor herself were</w:t>
      </w:r>
      <w:r w:rsidRPr="00423598">
        <w:rPr>
          <w:lang w:val="en-GB"/>
        </w:rPr>
        <w:t xml:space="preserve"> ever given</w:t>
      </w:r>
      <w:r w:rsidR="00021480" w:rsidRPr="00423598">
        <w:rPr>
          <w:lang w:val="en-GB"/>
        </w:rPr>
        <w:t>. She also states that no further</w:t>
      </w:r>
      <w:r w:rsidRPr="00423598">
        <w:rPr>
          <w:lang w:val="en-GB"/>
        </w:rPr>
        <w:t xml:space="preserve"> criminal proceedings were initiated against these persons.</w:t>
      </w:r>
    </w:p>
    <w:p w:rsidR="00E84691" w:rsidRPr="00423598" w:rsidRDefault="00E84691" w:rsidP="00E84691">
      <w:pPr>
        <w:ind w:left="360"/>
        <w:jc w:val="both"/>
        <w:rPr>
          <w:lang w:val="en-GB"/>
        </w:rPr>
      </w:pPr>
    </w:p>
    <w:p w:rsidR="00E84691" w:rsidRPr="00423598" w:rsidRDefault="00E84691" w:rsidP="00E84691">
      <w:pPr>
        <w:numPr>
          <w:ilvl w:val="0"/>
          <w:numId w:val="2"/>
        </w:numPr>
        <w:jc w:val="both"/>
      </w:pPr>
      <w:r w:rsidRPr="00423598">
        <w:t xml:space="preserve">The complainant states that the </w:t>
      </w:r>
      <w:r w:rsidR="00954A3E" w:rsidRPr="00423598">
        <w:t>abduction</w:t>
      </w:r>
      <w:r w:rsidR="009F155A" w:rsidRPr="00423598">
        <w:t xml:space="preserve"> was reported to KFOR, UNMIK, </w:t>
      </w:r>
      <w:r w:rsidRPr="00423598">
        <w:t xml:space="preserve">the </w:t>
      </w:r>
      <w:r w:rsidR="009F155A" w:rsidRPr="00423598">
        <w:t>ICRC</w:t>
      </w:r>
      <w:r w:rsidRPr="00423598">
        <w:t>, the Yugoslav Red Cross, and the Serbian Ministry of Internal Affairs.</w:t>
      </w:r>
    </w:p>
    <w:p w:rsidR="00423598" w:rsidRPr="00423598" w:rsidRDefault="00423598" w:rsidP="00423598">
      <w:pPr>
        <w:pStyle w:val="ListParagraph"/>
      </w:pPr>
    </w:p>
    <w:p w:rsidR="00423598" w:rsidRPr="00423598" w:rsidRDefault="00423598" w:rsidP="00423598">
      <w:pPr>
        <w:numPr>
          <w:ilvl w:val="0"/>
          <w:numId w:val="2"/>
        </w:numPr>
        <w:jc w:val="both"/>
        <w:rPr>
          <w:bCs/>
          <w:lang w:val="en-GB"/>
        </w:rPr>
      </w:pPr>
      <w:r w:rsidRPr="00423598">
        <w:rPr>
          <w:lang w:val="en-GB"/>
        </w:rPr>
        <w:t>On 13 September 2002, the mortal remains of Mr Rade Budimir were returned to his family.</w:t>
      </w:r>
    </w:p>
    <w:p w:rsidR="002948A6" w:rsidRPr="00423598" w:rsidRDefault="002948A6" w:rsidP="00D05FAB">
      <w:pPr>
        <w:rPr>
          <w:lang w:val="en-GB"/>
        </w:rPr>
      </w:pPr>
      <w:bookmarkStart w:id="8" w:name="_Ref389154703"/>
    </w:p>
    <w:p w:rsidR="00E35F59" w:rsidRPr="00423598" w:rsidRDefault="005F689D" w:rsidP="00E35F59">
      <w:pPr>
        <w:numPr>
          <w:ilvl w:val="0"/>
          <w:numId w:val="2"/>
        </w:numPr>
        <w:jc w:val="both"/>
        <w:rPr>
          <w:bCs/>
          <w:lang w:val="en-GB"/>
        </w:rPr>
      </w:pPr>
      <w:r w:rsidRPr="00423598">
        <w:rPr>
          <w:lang w:val="en-GB"/>
        </w:rPr>
        <w:t xml:space="preserve">On 5 August 1999, the ICRC opened a tracing request for Mr Rade Budimir. </w:t>
      </w:r>
      <w:r w:rsidR="004F45E5" w:rsidRPr="00423598">
        <w:rPr>
          <w:lang w:val="en-GB"/>
        </w:rPr>
        <w:t>Likewise, t</w:t>
      </w:r>
      <w:r w:rsidR="002948A6" w:rsidRPr="00423598">
        <w:rPr>
          <w:lang w:val="en-GB"/>
        </w:rPr>
        <w:t xml:space="preserve">he </w:t>
      </w:r>
      <w:r w:rsidR="00E35F59" w:rsidRPr="00423598">
        <w:rPr>
          <w:lang w:val="en-GB"/>
        </w:rPr>
        <w:t>name</w:t>
      </w:r>
      <w:r w:rsidR="002948A6" w:rsidRPr="00423598">
        <w:rPr>
          <w:lang w:val="en-GB"/>
        </w:rPr>
        <w:t xml:space="preserve"> of </w:t>
      </w:r>
      <w:r w:rsidR="007D1776" w:rsidRPr="00423598">
        <w:rPr>
          <w:lang w:val="en-GB"/>
        </w:rPr>
        <w:t xml:space="preserve">Mr Rade Budimir </w:t>
      </w:r>
      <w:r w:rsidR="002948A6" w:rsidRPr="00423598">
        <w:rPr>
          <w:lang w:val="en-GB"/>
        </w:rPr>
        <w:t>is</w:t>
      </w:r>
      <w:r w:rsidR="00E35F59" w:rsidRPr="00423598">
        <w:rPr>
          <w:lang w:val="en-GB"/>
        </w:rPr>
        <w:t xml:space="preserve"> included in the database compiled by the UNMIK OMPF</w:t>
      </w:r>
      <w:r w:rsidR="00E35F59" w:rsidRPr="00423598">
        <w:rPr>
          <w:rStyle w:val="FootnoteReference"/>
          <w:bCs/>
          <w:lang w:val="en-GB"/>
        </w:rPr>
        <w:footnoteReference w:id="3"/>
      </w:r>
      <w:r w:rsidR="00E35F59" w:rsidRPr="00423598">
        <w:rPr>
          <w:bCs/>
          <w:lang w:val="en-GB"/>
        </w:rPr>
        <w:t xml:space="preserve">. The entry in relation to </w:t>
      </w:r>
      <w:r w:rsidR="00423598" w:rsidRPr="00423598">
        <w:rPr>
          <w:lang w:val="en-GB"/>
        </w:rPr>
        <w:t xml:space="preserve">Mr Rade Budimir </w:t>
      </w:r>
      <w:r w:rsidR="00E35F59" w:rsidRPr="00423598">
        <w:rPr>
          <w:bCs/>
          <w:lang w:val="en-GB"/>
        </w:rPr>
        <w:t xml:space="preserve">in the </w:t>
      </w:r>
      <w:r w:rsidR="00E35F59" w:rsidRPr="00423598">
        <w:rPr>
          <w:lang w:val="en-GB"/>
        </w:rPr>
        <w:t>online database maintained by the ICMP</w:t>
      </w:r>
      <w:r w:rsidR="00E35F59" w:rsidRPr="00423598">
        <w:rPr>
          <w:vertAlign w:val="superscript"/>
          <w:lang w:val="en-GB"/>
        </w:rPr>
        <w:footnoteReference w:id="4"/>
      </w:r>
      <w:r w:rsidR="00E35F59" w:rsidRPr="00423598">
        <w:rPr>
          <w:lang w:val="en-GB"/>
        </w:rPr>
        <w:t xml:space="preserve"> gives </w:t>
      </w:r>
      <w:r w:rsidR="00622236" w:rsidRPr="00423598">
        <w:rPr>
          <w:lang w:val="en-GB"/>
        </w:rPr>
        <w:t>1</w:t>
      </w:r>
      <w:r w:rsidR="002948A6" w:rsidRPr="00423598">
        <w:rPr>
          <w:lang w:val="en-GB"/>
        </w:rPr>
        <w:t xml:space="preserve"> </w:t>
      </w:r>
      <w:r w:rsidR="00622236" w:rsidRPr="00423598">
        <w:rPr>
          <w:lang w:val="en-GB"/>
        </w:rPr>
        <w:t>June</w:t>
      </w:r>
      <w:r w:rsidR="002948A6" w:rsidRPr="00423598">
        <w:rPr>
          <w:lang w:val="en-GB"/>
        </w:rPr>
        <w:t xml:space="preserve"> </w:t>
      </w:r>
      <w:r w:rsidR="00E35F59" w:rsidRPr="00423598">
        <w:rPr>
          <w:lang w:val="en-GB"/>
        </w:rPr>
        <w:t xml:space="preserve">1999 as the reported date of disappearance and reads in other relevant fields: “Sufficient Reference Samples Collected” and “ICMP has provided </w:t>
      </w:r>
      <w:r w:rsidR="007D1776" w:rsidRPr="00423598">
        <w:rPr>
          <w:lang w:val="en-GB"/>
        </w:rPr>
        <w:t>information on this person on 08-20</w:t>
      </w:r>
      <w:r w:rsidR="00622236" w:rsidRPr="00423598">
        <w:rPr>
          <w:lang w:val="en-GB"/>
        </w:rPr>
        <w:t>-2002</w:t>
      </w:r>
      <w:r w:rsidR="002948A6" w:rsidRPr="00423598">
        <w:rPr>
          <w:lang w:val="en-GB"/>
        </w:rPr>
        <w:t xml:space="preserve"> </w:t>
      </w:r>
      <w:r w:rsidR="002E04D2" w:rsidRPr="00423598">
        <w:rPr>
          <w:lang w:val="en-GB"/>
        </w:rPr>
        <w:t>to authorized institution. To obtain additional information, contact EULEX</w:t>
      </w:r>
      <w:r w:rsidR="002948A6" w:rsidRPr="00423598">
        <w:rPr>
          <w:lang w:val="en-GB"/>
        </w:rPr>
        <w:t xml:space="preserve"> Kosovo</w:t>
      </w:r>
      <w:r w:rsidR="002E04D2" w:rsidRPr="00423598">
        <w:rPr>
          <w:lang w:val="en-GB"/>
        </w:rPr>
        <w:t xml:space="preserve"> Headquarters</w:t>
      </w:r>
      <w:r w:rsidR="00E35F59" w:rsidRPr="00423598">
        <w:rPr>
          <w:lang w:val="en-GB"/>
        </w:rPr>
        <w:t>.</w:t>
      </w:r>
      <w:bookmarkEnd w:id="8"/>
      <w:r w:rsidR="002E04D2" w:rsidRPr="00423598">
        <w:rPr>
          <w:lang w:val="en-GB"/>
        </w:rPr>
        <w:t xml:space="preserve">” </w:t>
      </w:r>
    </w:p>
    <w:p w:rsidR="00D64ACA" w:rsidRPr="00423598" w:rsidRDefault="00D64ACA" w:rsidP="00D64ACA">
      <w:pPr>
        <w:jc w:val="both"/>
      </w:pPr>
    </w:p>
    <w:p w:rsidR="00D64ACA" w:rsidRPr="00423598" w:rsidRDefault="00D64ACA" w:rsidP="00D64ACA">
      <w:pPr>
        <w:jc w:val="both"/>
        <w:rPr>
          <w:lang w:val="en-GB"/>
        </w:rPr>
      </w:pPr>
      <w:r w:rsidRPr="00423598">
        <w:rPr>
          <w:b/>
          <w:lang w:val="en-GB"/>
        </w:rPr>
        <w:t>C. The investigation</w:t>
      </w:r>
    </w:p>
    <w:p w:rsidR="00D142E8" w:rsidRPr="00D142E8" w:rsidRDefault="00D142E8" w:rsidP="00D142E8">
      <w:pPr>
        <w:jc w:val="both"/>
        <w:rPr>
          <w:i/>
          <w:lang w:val="en-GB"/>
        </w:rPr>
      </w:pPr>
    </w:p>
    <w:p w:rsidR="00D64ACA" w:rsidRPr="00423598" w:rsidRDefault="00D64ACA" w:rsidP="000072A4">
      <w:pPr>
        <w:pStyle w:val="ListParagraph"/>
        <w:ind w:left="0"/>
        <w:jc w:val="both"/>
        <w:rPr>
          <w:i/>
          <w:lang w:val="en-GB"/>
        </w:rPr>
      </w:pPr>
      <w:bookmarkStart w:id="9" w:name="_Ref347322102"/>
      <w:r w:rsidRPr="00423598">
        <w:rPr>
          <w:i/>
          <w:lang w:val="en-GB"/>
        </w:rPr>
        <w:t>Disclosure of relevant files</w:t>
      </w:r>
    </w:p>
    <w:p w:rsidR="00D64ACA" w:rsidRPr="00423598" w:rsidRDefault="00D64ACA" w:rsidP="00D64ACA">
      <w:pPr>
        <w:pStyle w:val="Default"/>
        <w:suppressAutoHyphens/>
        <w:jc w:val="both"/>
        <w:rPr>
          <w:bCs/>
          <w:lang w:val="en-GB"/>
        </w:rPr>
      </w:pPr>
    </w:p>
    <w:p w:rsidR="00D64ACA" w:rsidRPr="00423598" w:rsidRDefault="00D64ACA" w:rsidP="00D64ACA">
      <w:pPr>
        <w:pStyle w:val="Default"/>
        <w:numPr>
          <w:ilvl w:val="0"/>
          <w:numId w:val="2"/>
        </w:numPr>
        <w:tabs>
          <w:tab w:val="left" w:pos="360"/>
        </w:tabs>
        <w:suppressAutoHyphens/>
        <w:jc w:val="both"/>
        <w:rPr>
          <w:bCs/>
          <w:lang w:val="en-GB"/>
        </w:rPr>
      </w:pPr>
      <w:bookmarkStart w:id="10" w:name="_Ref365886120"/>
      <w:r w:rsidRPr="00423598">
        <w:rPr>
          <w:lang w:val="en-GB"/>
        </w:rPr>
        <w:lastRenderedPageBreak/>
        <w:t>On</w:t>
      </w:r>
      <w:bookmarkStart w:id="11" w:name="_Ref348357381"/>
      <w:r w:rsidRPr="00423598">
        <w:rPr>
          <w:lang w:val="en-GB"/>
        </w:rPr>
        <w:t xml:space="preserve"> </w:t>
      </w:r>
      <w:r w:rsidR="00622236" w:rsidRPr="00423598">
        <w:rPr>
          <w:lang w:val="en-GB"/>
        </w:rPr>
        <w:t>29 December 2011</w:t>
      </w:r>
      <w:r w:rsidRPr="00423598">
        <w:rPr>
          <w:lang w:val="en-GB"/>
        </w:rPr>
        <w:t xml:space="preserve">, </w:t>
      </w:r>
      <w:r w:rsidR="00711C23" w:rsidRPr="00423598">
        <w:rPr>
          <w:bCs/>
          <w:lang w:val="en-GB"/>
        </w:rPr>
        <w:t>UNMIK provided</w:t>
      </w:r>
      <w:r w:rsidR="0080361B" w:rsidRPr="00423598">
        <w:rPr>
          <w:bCs/>
          <w:lang w:val="en-GB"/>
        </w:rPr>
        <w:t xml:space="preserve"> to the Panel</w:t>
      </w:r>
      <w:r w:rsidRPr="00423598">
        <w:rPr>
          <w:bCs/>
          <w:lang w:val="en-GB"/>
        </w:rPr>
        <w:t xml:space="preserve"> documents </w:t>
      </w:r>
      <w:r w:rsidRPr="00423598">
        <w:rPr>
          <w:lang w:val="en-GB"/>
        </w:rPr>
        <w:t>which were held previously by the</w:t>
      </w:r>
      <w:r w:rsidR="00423598" w:rsidRPr="00423598">
        <w:rPr>
          <w:lang w:val="en-GB"/>
        </w:rPr>
        <w:t xml:space="preserve"> UNMIK</w:t>
      </w:r>
      <w:r w:rsidRPr="00423598">
        <w:rPr>
          <w:lang w:val="en-GB"/>
        </w:rPr>
        <w:t xml:space="preserve"> OMPF, </w:t>
      </w:r>
      <w:r w:rsidR="009D27AD" w:rsidRPr="00423598">
        <w:rPr>
          <w:lang w:val="en-GB"/>
        </w:rPr>
        <w:t>MPU</w:t>
      </w:r>
      <w:r w:rsidR="00622236" w:rsidRPr="00423598">
        <w:rPr>
          <w:lang w:val="en-GB"/>
        </w:rPr>
        <w:t xml:space="preserve"> </w:t>
      </w:r>
      <w:r w:rsidRPr="00423598">
        <w:rPr>
          <w:lang w:val="en-GB"/>
        </w:rPr>
        <w:t xml:space="preserve">and EULEX. On </w:t>
      </w:r>
      <w:r w:rsidR="00516234" w:rsidRPr="00423598">
        <w:rPr>
          <w:lang w:val="en-GB"/>
        </w:rPr>
        <w:t>6 October</w:t>
      </w:r>
      <w:r w:rsidR="002948A6" w:rsidRPr="00423598">
        <w:rPr>
          <w:lang w:val="en-GB"/>
        </w:rPr>
        <w:t xml:space="preserve"> 2014</w:t>
      </w:r>
      <w:r w:rsidR="00022E69" w:rsidRPr="00423598">
        <w:rPr>
          <w:lang w:val="en-GB"/>
        </w:rPr>
        <w:t>,</w:t>
      </w:r>
      <w:r w:rsidRPr="00423598">
        <w:rPr>
          <w:lang w:val="en-GB"/>
        </w:rPr>
        <w:t xml:space="preserve"> UNMIK confirmed to the Panel that all files in UNMIK’s possession have been disclosed.</w:t>
      </w:r>
      <w:bookmarkEnd w:id="10"/>
      <w:bookmarkEnd w:id="11"/>
    </w:p>
    <w:p w:rsidR="00D64ACA" w:rsidRPr="00423598" w:rsidRDefault="00D64ACA" w:rsidP="00D64ACA">
      <w:pPr>
        <w:pStyle w:val="Default"/>
        <w:suppressAutoHyphens/>
        <w:ind w:left="360"/>
        <w:jc w:val="both"/>
        <w:rPr>
          <w:bCs/>
          <w:lang w:val="en-GB"/>
        </w:rPr>
      </w:pPr>
    </w:p>
    <w:p w:rsidR="00D64ACA" w:rsidRPr="00423598" w:rsidRDefault="00D64ACA" w:rsidP="00D64ACA">
      <w:pPr>
        <w:widowControl w:val="0"/>
        <w:numPr>
          <w:ilvl w:val="0"/>
          <w:numId w:val="2"/>
        </w:numPr>
        <w:tabs>
          <w:tab w:val="left" w:pos="360"/>
          <w:tab w:val="num" w:pos="630"/>
          <w:tab w:val="left" w:pos="1080"/>
        </w:tabs>
        <w:suppressAutoHyphens/>
        <w:jc w:val="both"/>
        <w:rPr>
          <w:bCs/>
          <w:lang w:val="en-GB"/>
        </w:rPr>
      </w:pPr>
      <w:r w:rsidRPr="00423598">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423598" w:rsidRDefault="00D64ACA" w:rsidP="00D64ACA">
      <w:pPr>
        <w:pStyle w:val="ListParagraph"/>
        <w:rPr>
          <w:bCs/>
          <w:lang w:val="en-GB"/>
        </w:rPr>
      </w:pPr>
    </w:p>
    <w:p w:rsidR="00D64ACA" w:rsidRPr="00423598" w:rsidRDefault="00D64ACA" w:rsidP="000072A4">
      <w:pPr>
        <w:pStyle w:val="ListParagraph"/>
        <w:ind w:left="0"/>
        <w:jc w:val="both"/>
        <w:rPr>
          <w:i/>
          <w:lang w:val="en-GB"/>
        </w:rPr>
      </w:pPr>
      <w:r w:rsidRPr="00423598">
        <w:rPr>
          <w:i/>
          <w:lang w:val="en-GB"/>
        </w:rPr>
        <w:t>Search for the victim</w:t>
      </w:r>
      <w:r w:rsidR="009D27AD" w:rsidRPr="00423598">
        <w:rPr>
          <w:i/>
          <w:lang w:val="en-GB"/>
        </w:rPr>
        <w:t xml:space="preserve"> and </w:t>
      </w:r>
      <w:r w:rsidR="007C303C" w:rsidRPr="00423598">
        <w:rPr>
          <w:i/>
          <w:lang w:val="en-GB"/>
        </w:rPr>
        <w:t>the locat</w:t>
      </w:r>
      <w:r w:rsidR="00622236" w:rsidRPr="00423598">
        <w:rPr>
          <w:i/>
          <w:lang w:val="en-GB"/>
        </w:rPr>
        <w:t>ion and handover of the victim’s</w:t>
      </w:r>
      <w:r w:rsidRPr="00423598">
        <w:rPr>
          <w:i/>
          <w:lang w:val="en-GB"/>
        </w:rPr>
        <w:t xml:space="preserve"> mortal remains</w:t>
      </w:r>
    </w:p>
    <w:bookmarkEnd w:id="9"/>
    <w:p w:rsidR="009D27AD" w:rsidRPr="00423598" w:rsidRDefault="009D27AD" w:rsidP="009D27AD">
      <w:pPr>
        <w:jc w:val="both"/>
        <w:rPr>
          <w:lang w:val="en-GB"/>
        </w:rPr>
      </w:pPr>
    </w:p>
    <w:p w:rsidR="00824FC3" w:rsidRPr="00423598" w:rsidRDefault="00824FC3" w:rsidP="00D05FAB">
      <w:pPr>
        <w:pStyle w:val="ListParagraph"/>
        <w:widowControl w:val="0"/>
        <w:numPr>
          <w:ilvl w:val="0"/>
          <w:numId w:val="2"/>
        </w:numPr>
        <w:tabs>
          <w:tab w:val="left" w:pos="360"/>
          <w:tab w:val="num" w:pos="630"/>
          <w:tab w:val="left" w:pos="1080"/>
        </w:tabs>
        <w:jc w:val="both"/>
        <w:rPr>
          <w:bCs/>
          <w:lang w:val="en-GB"/>
        </w:rPr>
      </w:pPr>
      <w:bookmarkStart w:id="12" w:name="_Ref400968564"/>
      <w:bookmarkStart w:id="13" w:name="_Ref397946944"/>
      <w:bookmarkStart w:id="14" w:name="_Ref394589400"/>
      <w:bookmarkStart w:id="15" w:name="_Ref394489616"/>
      <w:bookmarkStart w:id="16" w:name="_Ref384389656"/>
      <w:bookmarkStart w:id="17" w:name="_Ref387228732"/>
      <w:bookmarkStart w:id="18" w:name="_Ref387918075"/>
      <w:r w:rsidRPr="00423598">
        <w:rPr>
          <w:bCs/>
          <w:lang w:val="en-GB"/>
        </w:rPr>
        <w:t>The</w:t>
      </w:r>
      <w:r w:rsidR="00954A3E" w:rsidRPr="00423598">
        <w:rPr>
          <w:bCs/>
          <w:lang w:val="en-GB"/>
        </w:rPr>
        <w:t xml:space="preserve"> UNMIK</w:t>
      </w:r>
      <w:r w:rsidRPr="00423598">
        <w:rPr>
          <w:bCs/>
          <w:lang w:val="en-GB"/>
        </w:rPr>
        <w:t xml:space="preserve"> MPU file contains an internal memorandum</w:t>
      </w:r>
      <w:r w:rsidR="008F147E" w:rsidRPr="00423598">
        <w:rPr>
          <w:bCs/>
          <w:lang w:val="en-GB"/>
        </w:rPr>
        <w:t xml:space="preserve"> from</w:t>
      </w:r>
      <w:r w:rsidR="00954A3E" w:rsidRPr="00423598">
        <w:rPr>
          <w:bCs/>
          <w:lang w:val="en-GB"/>
        </w:rPr>
        <w:t xml:space="preserve"> the</w:t>
      </w:r>
      <w:r w:rsidR="008F147E" w:rsidRPr="00423598">
        <w:rPr>
          <w:bCs/>
          <w:lang w:val="en-GB"/>
        </w:rPr>
        <w:t xml:space="preserve"> MPU to</w:t>
      </w:r>
      <w:r w:rsidR="00954A3E" w:rsidRPr="00423598">
        <w:rPr>
          <w:bCs/>
          <w:lang w:val="en-GB"/>
        </w:rPr>
        <w:t xml:space="preserve"> the</w:t>
      </w:r>
      <w:r w:rsidR="008F147E" w:rsidRPr="00423598">
        <w:rPr>
          <w:bCs/>
          <w:lang w:val="en-GB"/>
        </w:rPr>
        <w:t xml:space="preserve"> CCIU,</w:t>
      </w:r>
      <w:r w:rsidRPr="00423598">
        <w:rPr>
          <w:bCs/>
          <w:lang w:val="en-GB"/>
        </w:rPr>
        <w:t xml:space="preserve"> dated 17 February 2000, affixed with the file number</w:t>
      </w:r>
      <w:r w:rsidR="008F147E" w:rsidRPr="00423598">
        <w:rPr>
          <w:bCs/>
          <w:lang w:val="en-GB"/>
        </w:rPr>
        <w:t xml:space="preserve"> 1999-000191, which states that “[t[he MPU opened a file on [</w:t>
      </w:r>
      <w:r w:rsidR="008F147E" w:rsidRPr="00423598">
        <w:rPr>
          <w:lang w:val="en-GB"/>
        </w:rPr>
        <w:t>Mr Rade Budimir] based on (very poor) information coming from the center for Peace and Tolerance. Budimir RADE went missing on 01/08/99 in Pristina.”</w:t>
      </w:r>
      <w:bookmarkEnd w:id="12"/>
    </w:p>
    <w:p w:rsidR="002948A6" w:rsidRPr="00423598" w:rsidRDefault="002948A6" w:rsidP="00622236">
      <w:pPr>
        <w:rPr>
          <w:bCs/>
          <w:lang w:val="en-GB"/>
        </w:rPr>
      </w:pPr>
      <w:bookmarkStart w:id="19" w:name="_Ref395005257"/>
      <w:bookmarkEnd w:id="13"/>
      <w:bookmarkEnd w:id="14"/>
      <w:bookmarkEnd w:id="15"/>
      <w:bookmarkEnd w:id="16"/>
      <w:bookmarkEnd w:id="17"/>
      <w:bookmarkEnd w:id="18"/>
    </w:p>
    <w:p w:rsidR="00310CFD" w:rsidRPr="00423598" w:rsidRDefault="00622236" w:rsidP="00310CFD">
      <w:pPr>
        <w:widowControl w:val="0"/>
        <w:numPr>
          <w:ilvl w:val="0"/>
          <w:numId w:val="2"/>
        </w:numPr>
        <w:tabs>
          <w:tab w:val="left" w:pos="360"/>
          <w:tab w:val="num" w:pos="630"/>
          <w:tab w:val="left" w:pos="1080"/>
        </w:tabs>
        <w:suppressAutoHyphens/>
        <w:jc w:val="both"/>
        <w:rPr>
          <w:lang w:val="en-GB"/>
        </w:rPr>
      </w:pPr>
      <w:r w:rsidRPr="00423598">
        <w:rPr>
          <w:lang w:val="en-GB"/>
        </w:rPr>
        <w:t>The MPU file contains two undated Case Continuation Reports</w:t>
      </w:r>
      <w:r w:rsidR="002948A6" w:rsidRPr="00423598">
        <w:rPr>
          <w:lang w:val="en-GB"/>
        </w:rPr>
        <w:t xml:space="preserve"> for </w:t>
      </w:r>
      <w:r w:rsidR="000E7030" w:rsidRPr="00423598">
        <w:rPr>
          <w:lang w:val="en-GB"/>
        </w:rPr>
        <w:t>Mr Rade Budimir</w:t>
      </w:r>
      <w:r w:rsidR="002948A6" w:rsidRPr="00423598">
        <w:rPr>
          <w:lang w:val="en-GB"/>
        </w:rPr>
        <w:t xml:space="preserve">, affixed with the file number </w:t>
      </w:r>
      <w:r w:rsidR="000E7030" w:rsidRPr="00423598">
        <w:rPr>
          <w:lang w:val="en-GB"/>
        </w:rPr>
        <w:t>1999-000191</w:t>
      </w:r>
      <w:r w:rsidR="002948A6" w:rsidRPr="00423598">
        <w:rPr>
          <w:lang w:val="en-GB"/>
        </w:rPr>
        <w:t>. The</w:t>
      </w:r>
      <w:r w:rsidR="000E7030" w:rsidRPr="00423598">
        <w:rPr>
          <w:lang w:val="en-GB"/>
        </w:rPr>
        <w:t xml:space="preserve"> first Report contains three inputs, dated 17 February 2000, 13 October 2000 and 4 December 2000, respectively; the third input states “closed”.</w:t>
      </w:r>
      <w:r w:rsidR="00310CFD" w:rsidRPr="00423598">
        <w:rPr>
          <w:lang w:val="en-GB"/>
        </w:rPr>
        <w:t xml:space="preserve"> The second Report provides an “Investigational Checklist” which lists the five regions of Kosovo, as well as</w:t>
      </w:r>
      <w:r w:rsidR="00954A3E" w:rsidRPr="00423598">
        <w:rPr>
          <w:lang w:val="en-GB"/>
        </w:rPr>
        <w:t xml:space="preserve"> the</w:t>
      </w:r>
      <w:r w:rsidR="00310CFD" w:rsidRPr="00423598">
        <w:rPr>
          <w:lang w:val="en-GB"/>
        </w:rPr>
        <w:t xml:space="preserve"> CCIU,</w:t>
      </w:r>
      <w:r w:rsidR="00954A3E" w:rsidRPr="00423598">
        <w:rPr>
          <w:lang w:val="en-GB"/>
        </w:rPr>
        <w:t xml:space="preserve"> the</w:t>
      </w:r>
      <w:r w:rsidR="00310CFD" w:rsidRPr="00423598">
        <w:rPr>
          <w:lang w:val="en-GB"/>
        </w:rPr>
        <w:t xml:space="preserve"> Border Police, KFOR, OSCE and ICRC</w:t>
      </w:r>
      <w:r w:rsidR="00954A3E" w:rsidRPr="00423598">
        <w:rPr>
          <w:lang w:val="en-GB"/>
        </w:rPr>
        <w:t xml:space="preserve"> and it gives the dates from which the MPU requested information about Mr Rade Budimir</w:t>
      </w:r>
      <w:r w:rsidR="00310CFD" w:rsidRPr="00423598">
        <w:rPr>
          <w:lang w:val="en-GB"/>
        </w:rPr>
        <w:t xml:space="preserve"> and </w:t>
      </w:r>
      <w:r w:rsidR="00954A3E" w:rsidRPr="00423598">
        <w:rPr>
          <w:lang w:val="en-GB"/>
        </w:rPr>
        <w:t xml:space="preserve">the dates on which </w:t>
      </w:r>
      <w:r w:rsidR="00310CFD" w:rsidRPr="00423598">
        <w:rPr>
          <w:lang w:val="en-GB"/>
        </w:rPr>
        <w:t>those Police responded to</w:t>
      </w:r>
      <w:r w:rsidR="00954A3E" w:rsidRPr="00423598">
        <w:rPr>
          <w:lang w:val="en-GB"/>
        </w:rPr>
        <w:t xml:space="preserve"> the</w:t>
      </w:r>
      <w:r w:rsidR="00310CFD" w:rsidRPr="00423598">
        <w:rPr>
          <w:lang w:val="en-GB"/>
        </w:rPr>
        <w:t xml:space="preserve"> MPU’s request. The dates range from 27 February 2000 to 24 April 2000.   </w:t>
      </w:r>
    </w:p>
    <w:p w:rsidR="009D0619" w:rsidRPr="00423598" w:rsidRDefault="009D0619" w:rsidP="009D0619">
      <w:pPr>
        <w:pStyle w:val="ListParagraph"/>
        <w:rPr>
          <w:lang w:val="en-GB"/>
        </w:rPr>
      </w:pPr>
    </w:p>
    <w:p w:rsidR="009D0619" w:rsidRPr="00423598" w:rsidRDefault="009D0619" w:rsidP="00310CFD">
      <w:pPr>
        <w:widowControl w:val="0"/>
        <w:numPr>
          <w:ilvl w:val="0"/>
          <w:numId w:val="2"/>
        </w:numPr>
        <w:tabs>
          <w:tab w:val="left" w:pos="360"/>
          <w:tab w:val="num" w:pos="630"/>
          <w:tab w:val="left" w:pos="1080"/>
        </w:tabs>
        <w:suppressAutoHyphens/>
        <w:jc w:val="both"/>
        <w:rPr>
          <w:lang w:val="en-GB"/>
        </w:rPr>
      </w:pPr>
      <w:r w:rsidRPr="00423598">
        <w:rPr>
          <w:lang w:val="en-GB"/>
        </w:rPr>
        <w:t xml:space="preserve">The MPU file also contains an ICTY Autopsy Report, dated 19 June 2000, </w:t>
      </w:r>
      <w:r w:rsidR="00D14D16" w:rsidRPr="00423598">
        <w:rPr>
          <w:lang w:val="en-GB"/>
        </w:rPr>
        <w:t>affixed with the file number JA041/008B. Under the heading “Summary” the Report states “</w:t>
      </w:r>
      <w:proofErr w:type="gramStart"/>
      <w:r w:rsidR="00D14D16" w:rsidRPr="00423598">
        <w:rPr>
          <w:lang w:val="en-GB"/>
        </w:rPr>
        <w:t>An incomplete</w:t>
      </w:r>
      <w:proofErr w:type="gramEnd"/>
      <w:r w:rsidR="00D14D16" w:rsidRPr="00423598">
        <w:rPr>
          <w:lang w:val="en-GB"/>
        </w:rPr>
        <w:t xml:space="preserve"> skeletal remains with suggestion that an autopsy was previously performed…In the absence of the skeletal remains, no cause of death can be given.” Under the heading “Cause of Death” the Report states “Unascertained”.</w:t>
      </w:r>
    </w:p>
    <w:p w:rsidR="00310CFD" w:rsidRPr="00423598" w:rsidRDefault="00310CFD" w:rsidP="00310CFD">
      <w:pPr>
        <w:widowControl w:val="0"/>
        <w:tabs>
          <w:tab w:val="left" w:pos="360"/>
          <w:tab w:val="left" w:pos="1080"/>
        </w:tabs>
        <w:suppressAutoHyphens/>
        <w:jc w:val="both"/>
        <w:rPr>
          <w:lang w:val="en-GB"/>
        </w:rPr>
      </w:pPr>
    </w:p>
    <w:p w:rsidR="00310CFD" w:rsidRPr="00423598" w:rsidRDefault="00310CFD" w:rsidP="009D0619">
      <w:pPr>
        <w:pStyle w:val="ListParagraph"/>
        <w:widowControl w:val="0"/>
        <w:numPr>
          <w:ilvl w:val="0"/>
          <w:numId w:val="2"/>
        </w:numPr>
        <w:tabs>
          <w:tab w:val="left" w:pos="360"/>
          <w:tab w:val="num" w:pos="630"/>
          <w:tab w:val="left" w:pos="1080"/>
        </w:tabs>
        <w:jc w:val="both"/>
        <w:rPr>
          <w:bCs/>
          <w:lang w:val="en-GB"/>
        </w:rPr>
      </w:pPr>
      <w:bookmarkStart w:id="20" w:name="_Ref400976785"/>
      <w:r w:rsidRPr="00423598">
        <w:rPr>
          <w:lang w:val="en-GB"/>
        </w:rPr>
        <w:t>The MPU file contains an Ante-Mortem Victim Identification Form, dated 12 October 2000, affixed with the file number 1999-000191. Besides containing Mr Rade Budimir’s personal details and ante-mortem description, it provides the name, address and telephone number of the complainant</w:t>
      </w:r>
      <w:r w:rsidR="004F45E5" w:rsidRPr="00423598">
        <w:rPr>
          <w:lang w:val="en-GB"/>
        </w:rPr>
        <w:t xml:space="preserve"> and the victim’s brother</w:t>
      </w:r>
      <w:r w:rsidRPr="00423598">
        <w:rPr>
          <w:lang w:val="en-GB"/>
        </w:rPr>
        <w:t>.</w:t>
      </w:r>
      <w:bookmarkEnd w:id="20"/>
      <w:r w:rsidRPr="00423598">
        <w:rPr>
          <w:lang w:val="en-GB"/>
        </w:rPr>
        <w:t xml:space="preserve"> </w:t>
      </w:r>
    </w:p>
    <w:p w:rsidR="00D27F47" w:rsidRPr="00423598" w:rsidRDefault="00D27F47" w:rsidP="00D27F47">
      <w:pPr>
        <w:pStyle w:val="ListParagraph"/>
        <w:rPr>
          <w:bCs/>
          <w:lang w:val="en-GB"/>
        </w:rPr>
      </w:pPr>
    </w:p>
    <w:p w:rsidR="00D27F47" w:rsidRPr="00423598" w:rsidRDefault="00D27F47" w:rsidP="009D0619">
      <w:pPr>
        <w:pStyle w:val="ListParagraph"/>
        <w:widowControl w:val="0"/>
        <w:numPr>
          <w:ilvl w:val="0"/>
          <w:numId w:val="2"/>
        </w:numPr>
        <w:tabs>
          <w:tab w:val="left" w:pos="360"/>
          <w:tab w:val="num" w:pos="630"/>
          <w:tab w:val="left" w:pos="1080"/>
        </w:tabs>
        <w:jc w:val="both"/>
        <w:rPr>
          <w:bCs/>
          <w:lang w:val="en-GB"/>
        </w:rPr>
      </w:pPr>
      <w:r w:rsidRPr="00423598">
        <w:rPr>
          <w:bCs/>
          <w:lang w:val="en-GB"/>
        </w:rPr>
        <w:t>The MPU file contains an internal memorandum from</w:t>
      </w:r>
      <w:r w:rsidR="00954A3E" w:rsidRPr="00423598">
        <w:rPr>
          <w:bCs/>
          <w:lang w:val="en-GB"/>
        </w:rPr>
        <w:t xml:space="preserve"> the</w:t>
      </w:r>
      <w:r w:rsidRPr="00423598">
        <w:rPr>
          <w:bCs/>
          <w:lang w:val="en-GB"/>
        </w:rPr>
        <w:t xml:space="preserve"> MPU Belgrade to</w:t>
      </w:r>
      <w:r w:rsidR="00954A3E" w:rsidRPr="00423598">
        <w:rPr>
          <w:bCs/>
          <w:lang w:val="en-GB"/>
        </w:rPr>
        <w:t xml:space="preserve"> the</w:t>
      </w:r>
      <w:r w:rsidRPr="00423598">
        <w:rPr>
          <w:bCs/>
          <w:lang w:val="en-GB"/>
        </w:rPr>
        <w:t xml:space="preserve"> CCIU, dated 3 June 2002, affixed with file number 1999-000191</w:t>
      </w:r>
      <w:r w:rsidR="00535B71" w:rsidRPr="00423598">
        <w:rPr>
          <w:bCs/>
          <w:lang w:val="en-GB"/>
        </w:rPr>
        <w:t>. Under the heading “Overview of the Actual Situation”, the memorandum states “[</w:t>
      </w:r>
      <w:r w:rsidR="00535B71" w:rsidRPr="00423598">
        <w:rPr>
          <w:lang w:val="en-GB"/>
        </w:rPr>
        <w:t>Mr Rade Budimir] was seen for the last time in Pristina</w:t>
      </w:r>
      <w:r w:rsidR="00755247" w:rsidRPr="00423598">
        <w:rPr>
          <w:lang w:val="en-GB"/>
        </w:rPr>
        <w:t xml:space="preserve">, while went to meet one Albanian man [H.] </w:t>
      </w:r>
      <w:proofErr w:type="gramStart"/>
      <w:r w:rsidR="00755247" w:rsidRPr="00423598">
        <w:rPr>
          <w:lang w:val="en-GB"/>
        </w:rPr>
        <w:t>who</w:t>
      </w:r>
      <w:proofErr w:type="gramEnd"/>
      <w:r w:rsidR="00755247" w:rsidRPr="00423598">
        <w:rPr>
          <w:lang w:val="en-GB"/>
        </w:rPr>
        <w:t xml:space="preserve"> worked in Grand Hotel, to negotiate concerning property issues. It was 02-08-1999, and since then the person went missing. </w:t>
      </w:r>
      <w:r w:rsidR="004F45E5" w:rsidRPr="00423598">
        <w:rPr>
          <w:lang w:val="en-GB"/>
        </w:rPr>
        <w:t>The</w:t>
      </w:r>
      <w:r w:rsidR="00755247" w:rsidRPr="00423598">
        <w:rPr>
          <w:lang w:val="en-GB"/>
        </w:rPr>
        <w:t xml:space="preserve"> person was autopsied and identified by OSCE British team in Dragodan. Wife of the missing person recognized shown wardrobe and shoes. She claims that she was never shown the autopsy report…The identification is completely handled by the ICTY, before MPU was </w:t>
      </w:r>
      <w:r w:rsidR="00755247" w:rsidRPr="00423598">
        <w:rPr>
          <w:lang w:val="en-GB"/>
        </w:rPr>
        <w:lastRenderedPageBreak/>
        <w:t>involved in the process. MPU closed the file based on information from OSCE.”</w:t>
      </w:r>
    </w:p>
    <w:p w:rsidR="00622236" w:rsidRPr="00423598" w:rsidRDefault="00622236" w:rsidP="00622236">
      <w:pPr>
        <w:widowControl w:val="0"/>
        <w:tabs>
          <w:tab w:val="left" w:pos="360"/>
          <w:tab w:val="left" w:pos="1080"/>
        </w:tabs>
        <w:suppressAutoHyphens/>
        <w:jc w:val="both"/>
        <w:rPr>
          <w:lang w:val="en-GB"/>
        </w:rPr>
      </w:pPr>
    </w:p>
    <w:p w:rsidR="006C2C85" w:rsidRPr="00423598" w:rsidRDefault="003E3F85" w:rsidP="006C2C85">
      <w:pPr>
        <w:widowControl w:val="0"/>
        <w:numPr>
          <w:ilvl w:val="0"/>
          <w:numId w:val="2"/>
        </w:numPr>
        <w:suppressAutoHyphens/>
        <w:jc w:val="both"/>
        <w:rPr>
          <w:lang w:val="en-GB"/>
        </w:rPr>
      </w:pPr>
      <w:r w:rsidRPr="00423598">
        <w:rPr>
          <w:lang w:val="en-GB"/>
        </w:rPr>
        <w:t>Additionally, the file conta</w:t>
      </w:r>
      <w:r w:rsidR="00D27F47" w:rsidRPr="00423598">
        <w:rPr>
          <w:lang w:val="en-GB"/>
        </w:rPr>
        <w:t>ins an ICMP</w:t>
      </w:r>
      <w:r w:rsidR="00622236" w:rsidRPr="00423598">
        <w:rPr>
          <w:lang w:val="en-GB"/>
        </w:rPr>
        <w:t xml:space="preserve"> document dated 26</w:t>
      </w:r>
      <w:r w:rsidR="002948A6" w:rsidRPr="00423598">
        <w:rPr>
          <w:lang w:val="en-GB"/>
        </w:rPr>
        <w:t xml:space="preserve"> </w:t>
      </w:r>
      <w:r w:rsidR="00D27F47" w:rsidRPr="00423598">
        <w:rPr>
          <w:lang w:val="en-GB"/>
        </w:rPr>
        <w:t>August</w:t>
      </w:r>
      <w:r w:rsidR="00622236" w:rsidRPr="00423598">
        <w:rPr>
          <w:lang w:val="en-GB"/>
        </w:rPr>
        <w:t xml:space="preserve"> 2002</w:t>
      </w:r>
      <w:r w:rsidRPr="00423598">
        <w:rPr>
          <w:lang w:val="en-GB"/>
        </w:rPr>
        <w:t>, entitled “</w:t>
      </w:r>
      <w:r w:rsidR="00D27F47" w:rsidRPr="00423598">
        <w:rPr>
          <w:lang w:val="en-GB"/>
        </w:rPr>
        <w:t xml:space="preserve">Matching Bone and Blood </w:t>
      </w:r>
      <w:proofErr w:type="gramStart"/>
      <w:r w:rsidR="00D27F47" w:rsidRPr="00423598">
        <w:rPr>
          <w:lang w:val="en-GB"/>
        </w:rPr>
        <w:t>By</w:t>
      </w:r>
      <w:proofErr w:type="gramEnd"/>
      <w:r w:rsidR="00D27F47" w:rsidRPr="00423598">
        <w:rPr>
          <w:lang w:val="en-GB"/>
        </w:rPr>
        <w:t xml:space="preserve"> Results Nuclear DNA Analysis</w:t>
      </w:r>
      <w:r w:rsidR="00711C23" w:rsidRPr="00423598">
        <w:rPr>
          <w:lang w:val="en-GB"/>
        </w:rPr>
        <w:t xml:space="preserve">” </w:t>
      </w:r>
      <w:r w:rsidR="002948A6" w:rsidRPr="00423598">
        <w:rPr>
          <w:lang w:val="en-GB"/>
        </w:rPr>
        <w:t xml:space="preserve">which </w:t>
      </w:r>
      <w:r w:rsidR="00D27F47" w:rsidRPr="00423598">
        <w:rPr>
          <w:lang w:val="en-GB"/>
        </w:rPr>
        <w:t>confirms that the DNA from the sample matched the DNA results obtained from Mr Rade Budimir’s family members</w:t>
      </w:r>
      <w:r w:rsidRPr="00423598">
        <w:rPr>
          <w:lang w:val="en-GB"/>
        </w:rPr>
        <w:t>.</w:t>
      </w:r>
      <w:r w:rsidR="002948A6" w:rsidRPr="00423598">
        <w:rPr>
          <w:lang w:val="en-GB"/>
        </w:rPr>
        <w:t xml:space="preserve"> </w:t>
      </w:r>
      <w:r w:rsidR="00D27F47" w:rsidRPr="00423598">
        <w:rPr>
          <w:lang w:val="en-GB"/>
        </w:rPr>
        <w:t>On 11</w:t>
      </w:r>
      <w:r w:rsidR="002948A6" w:rsidRPr="00423598">
        <w:rPr>
          <w:lang w:val="en-GB"/>
        </w:rPr>
        <w:t xml:space="preserve"> </w:t>
      </w:r>
      <w:r w:rsidR="00D27F47" w:rsidRPr="00423598">
        <w:rPr>
          <w:lang w:val="en-GB"/>
        </w:rPr>
        <w:t>September 2002</w:t>
      </w:r>
      <w:r w:rsidR="006C2C85" w:rsidRPr="00423598">
        <w:rPr>
          <w:lang w:val="en-GB"/>
        </w:rPr>
        <w:t>, the OMPF issued a Death Certificate which lists his cause of death as “</w:t>
      </w:r>
      <w:r w:rsidR="00622236" w:rsidRPr="00423598">
        <w:rPr>
          <w:lang w:val="en-GB"/>
        </w:rPr>
        <w:t>unascertained</w:t>
      </w:r>
      <w:r w:rsidR="006C2C85" w:rsidRPr="00423598">
        <w:rPr>
          <w:lang w:val="en-GB"/>
        </w:rPr>
        <w:t>”.</w:t>
      </w:r>
      <w:bookmarkEnd w:id="19"/>
      <w:r w:rsidR="006C2C85" w:rsidRPr="00423598">
        <w:rPr>
          <w:lang w:val="en-GB"/>
        </w:rPr>
        <w:t xml:space="preserve"> </w:t>
      </w:r>
      <w:r w:rsidR="00D27F47" w:rsidRPr="00423598">
        <w:rPr>
          <w:lang w:val="en-GB"/>
        </w:rPr>
        <w:t>The OMPF file also contains an Identification Certificate dated 13 February 2003, confirming that the mortal remains were those of Mr Rade Budimir.</w:t>
      </w:r>
    </w:p>
    <w:p w:rsidR="006C2C85" w:rsidRPr="00423598" w:rsidRDefault="006C2C85" w:rsidP="002948A6">
      <w:pPr>
        <w:rPr>
          <w:lang w:val="en-GB"/>
        </w:rPr>
      </w:pPr>
    </w:p>
    <w:p w:rsidR="004F45E5" w:rsidRPr="00423598" w:rsidRDefault="00D27F47" w:rsidP="004F45E5">
      <w:pPr>
        <w:numPr>
          <w:ilvl w:val="0"/>
          <w:numId w:val="2"/>
        </w:numPr>
        <w:tabs>
          <w:tab w:val="left" w:pos="709"/>
        </w:tabs>
        <w:suppressAutoHyphens/>
        <w:autoSpaceDE w:val="0"/>
        <w:jc w:val="both"/>
      </w:pPr>
      <w:bookmarkStart w:id="21" w:name="_Ref394654857"/>
      <w:r w:rsidRPr="00423598">
        <w:rPr>
          <w:lang w:val="en-GB"/>
        </w:rPr>
        <w:t>According to various other documents in the MPU file, including more Case Continuation Reports</w:t>
      </w:r>
      <w:r w:rsidR="00755247" w:rsidRPr="00423598">
        <w:rPr>
          <w:lang w:val="en-GB"/>
        </w:rPr>
        <w:t>, MPU Weekly Reports</w:t>
      </w:r>
      <w:r w:rsidRPr="00423598">
        <w:rPr>
          <w:lang w:val="en-GB"/>
        </w:rPr>
        <w:t xml:space="preserve"> and MPU “Handover Receipts”, o</w:t>
      </w:r>
      <w:r w:rsidR="006E61AD" w:rsidRPr="00423598">
        <w:rPr>
          <w:lang w:val="en-GB"/>
        </w:rPr>
        <w:t xml:space="preserve">n </w:t>
      </w:r>
      <w:r w:rsidRPr="00423598">
        <w:rPr>
          <w:lang w:val="en-GB"/>
        </w:rPr>
        <w:t>13</w:t>
      </w:r>
      <w:r w:rsidR="002948A6" w:rsidRPr="00423598">
        <w:rPr>
          <w:lang w:val="en-GB"/>
        </w:rPr>
        <w:t xml:space="preserve"> </w:t>
      </w:r>
      <w:r w:rsidRPr="00423598">
        <w:rPr>
          <w:lang w:val="en-GB"/>
        </w:rPr>
        <w:t>September 2002</w:t>
      </w:r>
      <w:r w:rsidR="006E61AD" w:rsidRPr="00423598">
        <w:rPr>
          <w:lang w:val="en-GB"/>
        </w:rPr>
        <w:t xml:space="preserve">, the mortal remains of </w:t>
      </w:r>
      <w:r w:rsidRPr="00423598">
        <w:rPr>
          <w:lang w:val="en-GB"/>
        </w:rPr>
        <w:t>Mr Rade Budimir</w:t>
      </w:r>
      <w:r w:rsidR="00622236" w:rsidRPr="00423598">
        <w:rPr>
          <w:lang w:val="en-GB"/>
        </w:rPr>
        <w:t xml:space="preserve"> </w:t>
      </w:r>
      <w:r w:rsidR="006E61AD" w:rsidRPr="00423598">
        <w:rPr>
          <w:lang w:val="en-GB"/>
        </w:rPr>
        <w:t>were returned by</w:t>
      </w:r>
      <w:r w:rsidR="00711C23" w:rsidRPr="00423598">
        <w:rPr>
          <w:lang w:val="en-GB"/>
        </w:rPr>
        <w:t xml:space="preserve"> the</w:t>
      </w:r>
      <w:r w:rsidR="002948A6" w:rsidRPr="00423598">
        <w:rPr>
          <w:lang w:val="en-GB"/>
        </w:rPr>
        <w:t xml:space="preserve"> UNMIK MPU to his family members</w:t>
      </w:r>
      <w:r w:rsidR="00622236" w:rsidRPr="00423598">
        <w:rPr>
          <w:lang w:val="en-GB"/>
        </w:rPr>
        <w:t>.</w:t>
      </w:r>
      <w:r w:rsidR="004F45E5" w:rsidRPr="00423598">
        <w:rPr>
          <w:lang w:val="en-GB"/>
        </w:rPr>
        <w:t xml:space="preserve"> The MPU Weekly Reports also show that the complainant attended meetings with</w:t>
      </w:r>
      <w:r w:rsidR="00954A3E" w:rsidRPr="00423598">
        <w:rPr>
          <w:lang w:val="en-GB"/>
        </w:rPr>
        <w:t xml:space="preserve"> the</w:t>
      </w:r>
      <w:r w:rsidR="004F45E5" w:rsidRPr="00423598">
        <w:rPr>
          <w:lang w:val="en-GB"/>
        </w:rPr>
        <w:t xml:space="preserve"> MPU, as </w:t>
      </w:r>
      <w:r w:rsidR="004F45E5" w:rsidRPr="00423598">
        <w:t>as an active me</w:t>
      </w:r>
      <w:r w:rsidR="00423598" w:rsidRPr="00423598">
        <w:t>mber and later chairwoman of an</w:t>
      </w:r>
      <w:r w:rsidR="004F45E5" w:rsidRPr="00423598">
        <w:t xml:space="preserve"> </w:t>
      </w:r>
      <w:r w:rsidR="00423598" w:rsidRPr="00423598">
        <w:t>a</w:t>
      </w:r>
      <w:r w:rsidR="004F45E5" w:rsidRPr="00423598">
        <w:t>ssociation of</w:t>
      </w:r>
      <w:r w:rsidR="00423598" w:rsidRPr="00423598">
        <w:t xml:space="preserve"> the families of missing p</w:t>
      </w:r>
      <w:r w:rsidR="004F45E5" w:rsidRPr="00423598">
        <w:t xml:space="preserve">ersons, and that she was made aware of the specifics regarding the handover of </w:t>
      </w:r>
      <w:r w:rsidR="004F45E5" w:rsidRPr="00423598">
        <w:rPr>
          <w:lang w:val="en-GB"/>
        </w:rPr>
        <w:t>Mr Rade Budimir’s mortal remains.</w:t>
      </w:r>
      <w:r w:rsidR="004F45E5" w:rsidRPr="00423598">
        <w:t xml:space="preserve"> </w:t>
      </w:r>
    </w:p>
    <w:p w:rsidR="00D64ACA" w:rsidRPr="00423598" w:rsidRDefault="004F45E5" w:rsidP="004F45E5">
      <w:pPr>
        <w:ind w:left="360"/>
        <w:jc w:val="both"/>
        <w:rPr>
          <w:lang w:val="en-GB"/>
        </w:rPr>
      </w:pPr>
      <w:r w:rsidRPr="00423598">
        <w:rPr>
          <w:lang w:val="en-GB"/>
        </w:rPr>
        <w:t xml:space="preserve"> </w:t>
      </w:r>
      <w:r w:rsidR="006E61AD" w:rsidRPr="00423598">
        <w:rPr>
          <w:lang w:val="en-GB"/>
        </w:rPr>
        <w:t xml:space="preserve"> </w:t>
      </w:r>
      <w:bookmarkEnd w:id="21"/>
    </w:p>
    <w:p w:rsidR="00A67319" w:rsidRPr="00423598" w:rsidRDefault="00A67319" w:rsidP="000072A4">
      <w:pPr>
        <w:pStyle w:val="ListParagraph"/>
        <w:ind w:left="0"/>
        <w:jc w:val="both"/>
        <w:rPr>
          <w:i/>
          <w:lang w:val="en-GB"/>
        </w:rPr>
      </w:pPr>
      <w:r w:rsidRPr="00423598">
        <w:rPr>
          <w:i/>
          <w:lang w:val="en-GB"/>
        </w:rPr>
        <w:t>Investigation with regard to perpetrator(s)</w:t>
      </w:r>
    </w:p>
    <w:p w:rsidR="00787BE3" w:rsidRPr="00423598" w:rsidRDefault="00787BE3" w:rsidP="005547B8">
      <w:pPr>
        <w:rPr>
          <w:lang w:val="en-GB"/>
        </w:rPr>
      </w:pPr>
    </w:p>
    <w:p w:rsidR="00622236" w:rsidRPr="00423598" w:rsidRDefault="0036506B" w:rsidP="0036506B">
      <w:pPr>
        <w:widowControl w:val="0"/>
        <w:numPr>
          <w:ilvl w:val="0"/>
          <w:numId w:val="2"/>
        </w:numPr>
        <w:tabs>
          <w:tab w:val="left" w:pos="360"/>
          <w:tab w:val="num" w:pos="630"/>
          <w:tab w:val="left" w:pos="1080"/>
        </w:tabs>
        <w:suppressAutoHyphens/>
        <w:jc w:val="both"/>
        <w:rPr>
          <w:bCs/>
          <w:lang w:val="en-GB"/>
        </w:rPr>
      </w:pPr>
      <w:bookmarkStart w:id="22" w:name="_Ref397949095"/>
      <w:bookmarkStart w:id="23" w:name="_Ref393961966"/>
      <w:bookmarkStart w:id="24" w:name="_Ref373835022"/>
      <w:r w:rsidRPr="00423598">
        <w:t>The</w:t>
      </w:r>
      <w:r w:rsidR="0034219E" w:rsidRPr="00423598">
        <w:t xml:space="preserve"> investigative</w:t>
      </w:r>
      <w:r w:rsidRPr="00423598">
        <w:t xml:space="preserve"> file provided by UNMIK</w:t>
      </w:r>
      <w:r w:rsidR="00622236" w:rsidRPr="00423598">
        <w:t xml:space="preserve"> does not contain any documents related to the investigation with regard to locating the perpetrators. </w:t>
      </w:r>
    </w:p>
    <w:bookmarkEnd w:id="22"/>
    <w:bookmarkEnd w:id="23"/>
    <w:bookmarkEnd w:id="24"/>
    <w:p w:rsidR="00EA506C" w:rsidRPr="00423598" w:rsidRDefault="00EA506C" w:rsidP="00814B10">
      <w:pPr>
        <w:widowControl w:val="0"/>
        <w:tabs>
          <w:tab w:val="left" w:pos="360"/>
          <w:tab w:val="left" w:pos="1080"/>
        </w:tabs>
        <w:suppressAutoHyphens/>
        <w:jc w:val="both"/>
        <w:rPr>
          <w:lang w:val="en-GB" w:eastAsia="en-GB"/>
        </w:rPr>
      </w:pPr>
    </w:p>
    <w:p w:rsidR="00242881" w:rsidRPr="00423598" w:rsidRDefault="00242881" w:rsidP="00F27A88">
      <w:pPr>
        <w:rPr>
          <w:lang w:val="en-GB" w:eastAsia="en-GB"/>
        </w:rPr>
      </w:pPr>
    </w:p>
    <w:p w:rsidR="003E3F85" w:rsidRPr="00423598" w:rsidRDefault="003E3F85" w:rsidP="003E3F85">
      <w:pPr>
        <w:numPr>
          <w:ilvl w:val="0"/>
          <w:numId w:val="1"/>
        </w:numPr>
        <w:suppressAutoHyphens/>
        <w:autoSpaceDE w:val="0"/>
        <w:ind w:left="360" w:hanging="360"/>
        <w:jc w:val="both"/>
        <w:rPr>
          <w:b/>
          <w:bCs/>
        </w:rPr>
      </w:pPr>
      <w:r w:rsidRPr="00423598">
        <w:rPr>
          <w:b/>
          <w:bCs/>
          <w:lang w:val="en-GB"/>
        </w:rPr>
        <w:t>THE</w:t>
      </w:r>
      <w:r w:rsidRPr="00423598">
        <w:rPr>
          <w:b/>
          <w:bCs/>
        </w:rPr>
        <w:t xml:space="preserve"> COMPLAINT</w:t>
      </w:r>
    </w:p>
    <w:p w:rsidR="003E3F85" w:rsidRPr="00423598" w:rsidRDefault="003E3F85" w:rsidP="003E3F85">
      <w:pPr>
        <w:pStyle w:val="ListParagraph"/>
        <w:tabs>
          <w:tab w:val="left" w:pos="357"/>
        </w:tabs>
        <w:autoSpaceDE w:val="0"/>
        <w:ind w:left="1080"/>
        <w:jc w:val="both"/>
        <w:rPr>
          <w:b/>
          <w:bCs/>
          <w:lang w:val="en-GB"/>
        </w:rPr>
      </w:pPr>
    </w:p>
    <w:p w:rsidR="003E3F85" w:rsidRPr="00423598" w:rsidRDefault="003E3F85" w:rsidP="003E3F85">
      <w:pPr>
        <w:pStyle w:val="ListParagraph"/>
        <w:numPr>
          <w:ilvl w:val="0"/>
          <w:numId w:val="2"/>
        </w:numPr>
        <w:autoSpaceDE w:val="0"/>
        <w:jc w:val="both"/>
        <w:rPr>
          <w:b/>
          <w:bCs/>
          <w:lang w:val="en-GB"/>
        </w:rPr>
      </w:pPr>
      <w:r w:rsidRPr="00423598">
        <w:rPr>
          <w:lang w:val="en-GB"/>
        </w:rPr>
        <w:t>The complainant complains about UNMIK’s alleged failure to properly investigate the</w:t>
      </w:r>
      <w:r w:rsidR="00622236" w:rsidRPr="00423598">
        <w:rPr>
          <w:lang w:val="en-GB"/>
        </w:rPr>
        <w:t xml:space="preserve"> </w:t>
      </w:r>
      <w:r w:rsidR="00954A3E" w:rsidRPr="00423598">
        <w:rPr>
          <w:lang w:val="en-GB"/>
        </w:rPr>
        <w:t>abduction</w:t>
      </w:r>
      <w:r w:rsidR="00423598" w:rsidRPr="00423598">
        <w:rPr>
          <w:lang w:val="en-GB"/>
        </w:rPr>
        <w:t xml:space="preserve"> and killing</w:t>
      </w:r>
      <w:r w:rsidRPr="00423598">
        <w:rPr>
          <w:lang w:val="en-GB"/>
        </w:rPr>
        <w:t xml:space="preserve"> of </w:t>
      </w:r>
      <w:r w:rsidR="00814B10" w:rsidRPr="00423598">
        <w:rPr>
          <w:lang w:val="en-GB"/>
        </w:rPr>
        <w:t>Mr Rade Budimir</w:t>
      </w:r>
      <w:r w:rsidRPr="00423598">
        <w:rPr>
          <w:lang w:val="en-GB"/>
        </w:rPr>
        <w:t>. In this regard, the Panel deems that the complainant invokes a violation of the procedural limb of Article 2 of the European Convention on Human Rights (ECHR).</w:t>
      </w:r>
    </w:p>
    <w:p w:rsidR="003E3F85" w:rsidRPr="00423598" w:rsidRDefault="003E3F85" w:rsidP="003E3F85">
      <w:pPr>
        <w:autoSpaceDE w:val="0"/>
        <w:jc w:val="both"/>
        <w:rPr>
          <w:b/>
          <w:bCs/>
          <w:lang w:val="en-GB"/>
        </w:rPr>
      </w:pPr>
    </w:p>
    <w:p w:rsidR="003E3F85" w:rsidRPr="00423598" w:rsidRDefault="003E3F85" w:rsidP="003E3F85">
      <w:pPr>
        <w:autoSpaceDE w:val="0"/>
        <w:jc w:val="both"/>
        <w:rPr>
          <w:b/>
          <w:bCs/>
          <w:lang w:val="en-GB"/>
        </w:rPr>
      </w:pPr>
    </w:p>
    <w:p w:rsidR="003E3F85" w:rsidRPr="00423598" w:rsidRDefault="003E3F85" w:rsidP="003E3F85">
      <w:pPr>
        <w:numPr>
          <w:ilvl w:val="0"/>
          <w:numId w:val="1"/>
        </w:numPr>
        <w:suppressAutoHyphens/>
        <w:autoSpaceDE w:val="0"/>
        <w:ind w:left="360" w:hanging="360"/>
        <w:jc w:val="both"/>
        <w:rPr>
          <w:b/>
          <w:bCs/>
          <w:lang w:val="en-GB"/>
        </w:rPr>
      </w:pPr>
      <w:r w:rsidRPr="00423598">
        <w:rPr>
          <w:b/>
          <w:bCs/>
          <w:lang w:val="en-GB"/>
        </w:rPr>
        <w:t>THE LAW</w:t>
      </w:r>
    </w:p>
    <w:p w:rsidR="003E3F85" w:rsidRPr="00423598" w:rsidRDefault="003E3F85" w:rsidP="003E3F85">
      <w:pPr>
        <w:suppressAutoHyphens/>
        <w:autoSpaceDE w:val="0"/>
        <w:jc w:val="both"/>
        <w:rPr>
          <w:bCs/>
          <w:lang w:val="en-GB"/>
        </w:rPr>
      </w:pPr>
    </w:p>
    <w:p w:rsidR="003E3F85" w:rsidRPr="00423598" w:rsidRDefault="003E3F85" w:rsidP="003E3F85">
      <w:pPr>
        <w:pStyle w:val="Default"/>
        <w:numPr>
          <w:ilvl w:val="0"/>
          <w:numId w:val="4"/>
        </w:numPr>
        <w:jc w:val="both"/>
        <w:rPr>
          <w:b/>
          <w:color w:val="auto"/>
          <w:lang w:val="en-GB"/>
        </w:rPr>
      </w:pPr>
      <w:r w:rsidRPr="00423598">
        <w:rPr>
          <w:b/>
          <w:color w:val="auto"/>
          <w:lang w:val="en-GB"/>
        </w:rPr>
        <w:t>Alleged violation of the procedural obligation under</w:t>
      </w:r>
      <w:r w:rsidRPr="00423598">
        <w:rPr>
          <w:b/>
          <w:i/>
          <w:color w:val="auto"/>
          <w:lang w:val="en-GB"/>
        </w:rPr>
        <w:t xml:space="preserve"> </w:t>
      </w:r>
      <w:r w:rsidRPr="00423598">
        <w:rPr>
          <w:b/>
          <w:color w:val="auto"/>
          <w:lang w:val="en-GB"/>
        </w:rPr>
        <w:t xml:space="preserve">Article 2 of the ECHR </w:t>
      </w:r>
    </w:p>
    <w:p w:rsidR="003E3F85" w:rsidRPr="00423598" w:rsidRDefault="003E3F85" w:rsidP="003E3F85">
      <w:pPr>
        <w:tabs>
          <w:tab w:val="left" w:pos="630"/>
          <w:tab w:val="left" w:pos="2790"/>
        </w:tabs>
        <w:suppressAutoHyphens/>
        <w:autoSpaceDE w:val="0"/>
        <w:jc w:val="both"/>
        <w:rPr>
          <w:bCs/>
          <w:lang w:val="en-GB"/>
        </w:rPr>
      </w:pPr>
    </w:p>
    <w:p w:rsidR="003E3F85" w:rsidRPr="00423598" w:rsidRDefault="003E3F85" w:rsidP="003E3F85">
      <w:pPr>
        <w:pStyle w:val="ListParagraph"/>
        <w:numPr>
          <w:ilvl w:val="1"/>
          <w:numId w:val="1"/>
        </w:numPr>
        <w:tabs>
          <w:tab w:val="clear" w:pos="360"/>
          <w:tab w:val="left" w:pos="357"/>
        </w:tabs>
        <w:autoSpaceDE w:val="0"/>
        <w:contextualSpacing/>
        <w:jc w:val="both"/>
        <w:rPr>
          <w:b/>
          <w:bCs/>
          <w:lang w:val="en-GB"/>
        </w:rPr>
      </w:pPr>
      <w:r w:rsidRPr="00423598">
        <w:rPr>
          <w:b/>
          <w:bCs/>
          <w:lang w:val="en-GB"/>
        </w:rPr>
        <w:t>The scope of the Panel’s review</w:t>
      </w:r>
    </w:p>
    <w:p w:rsidR="003E3F85" w:rsidRPr="00423598" w:rsidRDefault="003E3F85" w:rsidP="003E3F85">
      <w:pPr>
        <w:suppressAutoHyphens/>
        <w:autoSpaceDE w:val="0"/>
        <w:jc w:val="both"/>
        <w:rPr>
          <w:bCs/>
          <w:lang w:val="en-GB"/>
        </w:rPr>
      </w:pPr>
    </w:p>
    <w:p w:rsidR="003E3F85" w:rsidRPr="00423598" w:rsidRDefault="003E3F85" w:rsidP="003E3F85">
      <w:pPr>
        <w:pStyle w:val="ListParagraph"/>
        <w:numPr>
          <w:ilvl w:val="0"/>
          <w:numId w:val="2"/>
        </w:numPr>
        <w:autoSpaceDE w:val="0"/>
        <w:jc w:val="both"/>
        <w:rPr>
          <w:bCs/>
          <w:lang w:val="en-GB"/>
        </w:rPr>
      </w:pPr>
      <w:r w:rsidRPr="00423598">
        <w:rPr>
          <w:bCs/>
          <w:lang w:val="en-GB"/>
        </w:rPr>
        <w:t>Before turning to the examination of the merits of the complaint, the Panel needs to clarify the scope of its review.</w:t>
      </w:r>
    </w:p>
    <w:p w:rsidR="003E3F85" w:rsidRPr="00423598" w:rsidRDefault="003E3F85" w:rsidP="003E3F85">
      <w:pPr>
        <w:autoSpaceDE w:val="0"/>
        <w:jc w:val="both"/>
        <w:rPr>
          <w:bCs/>
          <w:lang w:val="en-GB"/>
        </w:rPr>
      </w:pPr>
    </w:p>
    <w:p w:rsidR="003E3F85" w:rsidRPr="00423598" w:rsidRDefault="003E3F85" w:rsidP="003E3F85">
      <w:pPr>
        <w:pStyle w:val="ListParagraph"/>
        <w:numPr>
          <w:ilvl w:val="0"/>
          <w:numId w:val="2"/>
        </w:numPr>
        <w:autoSpaceDE w:val="0"/>
        <w:jc w:val="both"/>
        <w:rPr>
          <w:lang w:val="en-GB"/>
        </w:rPr>
      </w:pPr>
      <w:bookmarkStart w:id="25" w:name="_Ref366160496"/>
      <w:r w:rsidRPr="00423598">
        <w:rPr>
          <w:lang w:val="en-GB"/>
        </w:rPr>
        <w:t xml:space="preserve">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w:t>
      </w:r>
      <w:r w:rsidRPr="00423598">
        <w:rPr>
          <w:lang w:val="en-GB"/>
        </w:rPr>
        <w:lastRenderedPageBreak/>
        <w:t>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5"/>
      <w:r w:rsidRPr="00423598">
        <w:rPr>
          <w:lang w:val="en-GB"/>
        </w:rPr>
        <w:t xml:space="preserve"> </w:t>
      </w:r>
    </w:p>
    <w:p w:rsidR="003E3F85" w:rsidRPr="00423598" w:rsidRDefault="003E3F85" w:rsidP="003E3F85">
      <w:pPr>
        <w:tabs>
          <w:tab w:val="left" w:pos="360"/>
        </w:tabs>
        <w:autoSpaceDE w:val="0"/>
        <w:ind w:left="360" w:hanging="360"/>
        <w:jc w:val="both"/>
        <w:rPr>
          <w:bCs/>
          <w:lang w:val="en-GB"/>
        </w:rPr>
      </w:pPr>
    </w:p>
    <w:p w:rsidR="003E3F85" w:rsidRPr="00423598" w:rsidRDefault="003E3F85" w:rsidP="003E3F85">
      <w:pPr>
        <w:numPr>
          <w:ilvl w:val="0"/>
          <w:numId w:val="2"/>
        </w:numPr>
        <w:suppressAutoHyphens/>
        <w:autoSpaceDE w:val="0"/>
        <w:jc w:val="both"/>
        <w:rPr>
          <w:lang w:val="en-GB"/>
        </w:rPr>
      </w:pPr>
      <w:bookmarkStart w:id="26" w:name="_Ref347321462"/>
      <w:bookmarkStart w:id="27" w:name="_Ref317418022"/>
      <w:r w:rsidRPr="00423598">
        <w:rPr>
          <w:lang w:val="en-GB" w:eastAsia="nl-BE"/>
        </w:rPr>
        <w:t xml:space="preserve">The </w:t>
      </w:r>
      <w:r w:rsidRPr="00423598">
        <w:rPr>
          <w:bCs/>
          <w:lang w:val="en-GB"/>
        </w:rPr>
        <w:t>Panel</w:t>
      </w:r>
      <w:r w:rsidRPr="00423598">
        <w:rPr>
          <w:lang w:val="en-GB" w:eastAsia="nl-BE"/>
        </w:rPr>
        <w:t xml:space="preserve"> notes that with the adoption of the UNMIK Regulation No. 1999/1 on 25 July 1999 UNMIK undertook an obligation to observe internationally recognised human </w:t>
      </w:r>
      <w:r w:rsidRPr="00423598">
        <w:rPr>
          <w:bCs/>
          <w:lang w:val="en-GB"/>
        </w:rPr>
        <w:t>rights</w:t>
      </w:r>
      <w:r w:rsidRPr="00423598">
        <w:rPr>
          <w:lang w:val="en-GB" w:eastAsia="nl-BE"/>
        </w:rPr>
        <w:t xml:space="preserve"> standards in exercising its functions. This undertaking was detailed  in UNMIK Regulation No. 1999/24 of 12 December 1999, by which UNMIK assumed obligations under the following human rights instruments</w:t>
      </w:r>
      <w:r w:rsidRPr="00423598">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423598">
          <w:rPr>
            <w:rStyle w:val="Hyperlink"/>
            <w:color w:val="auto"/>
            <w:u w:val="none"/>
            <w:lang w:val="en-GB"/>
          </w:rPr>
          <w:t>the Convention Against Torture and Other Cruel, Inhuman or Degrading Treatment or Punishment</w:t>
        </w:r>
      </w:hyperlink>
      <w:r w:rsidRPr="00423598">
        <w:rPr>
          <w:lang w:val="en-GB"/>
        </w:rPr>
        <w:t>, the Convention on the Rights of the Child.</w:t>
      </w:r>
      <w:bookmarkEnd w:id="26"/>
    </w:p>
    <w:p w:rsidR="003E3F85" w:rsidRPr="00423598" w:rsidRDefault="003E3F85" w:rsidP="003E3F85">
      <w:pPr>
        <w:tabs>
          <w:tab w:val="left" w:pos="360"/>
        </w:tabs>
        <w:suppressAutoHyphens/>
        <w:autoSpaceDE w:val="0"/>
        <w:ind w:left="360" w:hanging="360"/>
        <w:jc w:val="both"/>
        <w:rPr>
          <w:lang w:val="en-GB"/>
        </w:rPr>
      </w:pPr>
      <w:bookmarkStart w:id="28" w:name="_Ref317493050"/>
    </w:p>
    <w:p w:rsidR="003E3F85" w:rsidRPr="00423598" w:rsidRDefault="003E3F85" w:rsidP="003E3F85">
      <w:pPr>
        <w:numPr>
          <w:ilvl w:val="0"/>
          <w:numId w:val="2"/>
        </w:numPr>
        <w:suppressAutoHyphens/>
        <w:autoSpaceDE w:val="0"/>
        <w:jc w:val="both"/>
        <w:rPr>
          <w:lang w:val="en-GB"/>
        </w:rPr>
      </w:pPr>
      <w:bookmarkStart w:id="29" w:name="_Ref347495661"/>
      <w:r w:rsidRPr="00423598">
        <w:rPr>
          <w:rFonts w:cs="CAGLHH+TimesNewRoman"/>
          <w:lang w:val="en-GB"/>
        </w:rPr>
        <w:t xml:space="preserve">The Panel also notes that Section 1.2 of </w:t>
      </w:r>
      <w:r w:rsidRPr="00423598">
        <w:rPr>
          <w:bCs/>
          <w:lang w:val="en-GB"/>
        </w:rPr>
        <w:t xml:space="preserve">UNMIK Regulation No. 2006/12 of 23 March 2006 on the Establishment of the Human Rights Advisory Panel </w:t>
      </w:r>
      <w:r w:rsidRPr="00423598">
        <w:rPr>
          <w:rFonts w:cs="CAGLHH+TimesNewRoman"/>
          <w:lang w:val="en-GB"/>
        </w:rPr>
        <w:t xml:space="preserve">provides that the Panel “shall examine complaints from any person or group of individuals claiming to be the victim of a violation by UNMIK of (their) human rights”. It </w:t>
      </w:r>
      <w:r w:rsidRPr="00423598">
        <w:rPr>
          <w:bCs/>
          <w:lang w:val="en-GB"/>
        </w:rPr>
        <w:t>follows</w:t>
      </w:r>
      <w:r w:rsidRPr="00423598">
        <w:rPr>
          <w:rFonts w:cs="CAGLHH+TimesNewRoman"/>
          <w:lang w:val="en-GB"/>
        </w:rPr>
        <w:t xml:space="preserve"> that only acts or omissions attributable to UNMIK fall within the jurisdiction </w:t>
      </w:r>
      <w:r w:rsidRPr="00423598">
        <w:rPr>
          <w:rFonts w:cs="CAGLHH+TimesNewRoman"/>
          <w:i/>
          <w:lang w:val="en-GB"/>
        </w:rPr>
        <w:t>ratione personae</w:t>
      </w:r>
      <w:r w:rsidRPr="00423598">
        <w:rPr>
          <w:rFonts w:cs="CAGLHH+TimesNewRoman"/>
          <w:lang w:val="en-GB"/>
        </w:rPr>
        <w:t xml:space="preserve"> of the Panel. In this respect, it should be noted, as stated above, that as of </w:t>
      </w:r>
      <w:r w:rsidRPr="00423598">
        <w:rPr>
          <w:lang w:val="en-GB"/>
        </w:rPr>
        <w:t xml:space="preserve">9 December 2008, UNMIK </w:t>
      </w:r>
      <w:r w:rsidRPr="00423598">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423598">
        <w:rPr>
          <w:bCs/>
          <w:i/>
          <w:lang w:val="en-GB"/>
        </w:rPr>
        <w:t>ratione personae</w:t>
      </w:r>
      <w:r w:rsidRPr="00423598">
        <w:rPr>
          <w:bCs/>
          <w:lang w:val="en-GB"/>
        </w:rPr>
        <w:t xml:space="preserve"> of the Panel.</w:t>
      </w:r>
      <w:bookmarkEnd w:id="28"/>
      <w:bookmarkEnd w:id="29"/>
    </w:p>
    <w:p w:rsidR="003E3F85" w:rsidRPr="00423598" w:rsidRDefault="003E3F85" w:rsidP="003E3F85">
      <w:pPr>
        <w:pStyle w:val="ListParagraph"/>
        <w:tabs>
          <w:tab w:val="left" w:pos="360"/>
        </w:tabs>
        <w:ind w:left="360" w:hanging="360"/>
        <w:rPr>
          <w:lang w:val="en-GB"/>
        </w:rPr>
      </w:pPr>
    </w:p>
    <w:p w:rsidR="003E3F85" w:rsidRPr="00423598" w:rsidRDefault="003E3F85" w:rsidP="003E3F85">
      <w:pPr>
        <w:numPr>
          <w:ilvl w:val="0"/>
          <w:numId w:val="2"/>
        </w:numPr>
        <w:suppressAutoHyphens/>
        <w:autoSpaceDE w:val="0"/>
        <w:jc w:val="both"/>
        <w:rPr>
          <w:bCs/>
          <w:lang w:val="en-GB"/>
        </w:rPr>
      </w:pPr>
      <w:r w:rsidRPr="00423598">
        <w:rPr>
          <w:rFonts w:cs="CAGLHH+TimesNewRoman"/>
          <w:lang w:val="en-GB"/>
        </w:rPr>
        <w:t xml:space="preserve">Likewise, the Panel emphasises that, as far as its jurisdiction </w:t>
      </w:r>
      <w:r w:rsidRPr="00423598">
        <w:rPr>
          <w:rFonts w:cs="CAGLHH+TimesNewRoman"/>
          <w:i/>
          <w:lang w:val="en-GB"/>
        </w:rPr>
        <w:t>ratione materiae</w:t>
      </w:r>
      <w:r w:rsidRPr="00423598">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423598">
        <w:fldChar w:fldCharType="begin"/>
      </w:r>
      <w:r w:rsidRPr="00423598">
        <w:instrText xml:space="preserve"> REF _Ref347321462 \r \h  \* MERGEFORMAT </w:instrText>
      </w:r>
      <w:r w:rsidRPr="00423598">
        <w:fldChar w:fldCharType="separate"/>
      </w:r>
      <w:r w:rsidR="00954A3E" w:rsidRPr="00423598">
        <w:rPr>
          <w:rFonts w:cs="CAGLHH+TimesNewRoman"/>
          <w:lang w:val="en-GB"/>
        </w:rPr>
        <w:t>38</w:t>
      </w:r>
      <w:r w:rsidRPr="00423598">
        <w:fldChar w:fldCharType="end"/>
      </w:r>
      <w:r w:rsidRPr="00423598">
        <w:rPr>
          <w:rFonts w:cs="CAGLHH+TimesNewRoman"/>
          <w:lang w:val="en-GB"/>
        </w:rPr>
        <w:t>).</w:t>
      </w:r>
      <w:r w:rsidRPr="00423598">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423598" w:rsidRDefault="003E3F85" w:rsidP="003E3F85">
      <w:pPr>
        <w:pStyle w:val="ListParagraph"/>
        <w:tabs>
          <w:tab w:val="left" w:pos="360"/>
        </w:tabs>
        <w:ind w:left="360" w:hanging="360"/>
        <w:rPr>
          <w:bCs/>
          <w:lang w:val="en-GB"/>
        </w:rPr>
      </w:pPr>
    </w:p>
    <w:p w:rsidR="003E3F85" w:rsidRPr="00423598" w:rsidRDefault="003E3F85" w:rsidP="003E3F85">
      <w:pPr>
        <w:numPr>
          <w:ilvl w:val="0"/>
          <w:numId w:val="2"/>
        </w:numPr>
        <w:tabs>
          <w:tab w:val="left" w:pos="630"/>
          <w:tab w:val="left" w:pos="2790"/>
        </w:tabs>
        <w:suppressAutoHyphens/>
        <w:autoSpaceDE w:val="0"/>
        <w:jc w:val="both"/>
        <w:rPr>
          <w:bCs/>
          <w:lang w:val="en-GB"/>
        </w:rPr>
      </w:pPr>
      <w:bookmarkStart w:id="30" w:name="_Ref346123885"/>
      <w:r w:rsidRPr="00423598">
        <w:rPr>
          <w:bCs/>
          <w:lang w:val="en-GB"/>
        </w:rPr>
        <w:t>The Panel further notes that Section 2 of UNMIK Regulation No. 2006/12 provides that t</w:t>
      </w:r>
      <w:r w:rsidRPr="00423598">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423598">
        <w:rPr>
          <w:rFonts w:cs="CAGLHH+TimesNewRoman"/>
          <w:i/>
          <w:lang w:val="en-GB"/>
        </w:rPr>
        <w:t xml:space="preserve">ratione </w:t>
      </w:r>
      <w:r w:rsidRPr="00423598">
        <w:rPr>
          <w:rFonts w:cs="CAGLHH+TimesNewRoman"/>
          <w:i/>
          <w:lang w:val="en-GB"/>
        </w:rPr>
        <w:lastRenderedPageBreak/>
        <w:t>temporis</w:t>
      </w:r>
      <w:r w:rsidRPr="00423598">
        <w:rPr>
          <w:rFonts w:cs="CAGLHH+TimesNewRoman"/>
          <w:lang w:val="en-GB"/>
        </w:rPr>
        <w:t xml:space="preserve"> of the Panel. However, to the extent that such events gave rise to a continuing situation, the Panel has jurisdiction to examine complaints relating to that situation</w:t>
      </w:r>
      <w:bookmarkEnd w:id="27"/>
      <w:r w:rsidRPr="00423598">
        <w:rPr>
          <w:rFonts w:cs="CAGLHH+TimesNewRoman"/>
          <w:lang w:val="en-GB"/>
        </w:rPr>
        <w:t xml:space="preserve"> (see European Court of Human Rights (ECtHR), Grand Chamber [GC], </w:t>
      </w:r>
      <w:r w:rsidRPr="00423598">
        <w:rPr>
          <w:rFonts w:cs="CAGLHH+TimesNewRoman"/>
          <w:i/>
          <w:lang w:val="en-GB"/>
        </w:rPr>
        <w:t>Varnava and Others v. Turkey</w:t>
      </w:r>
      <w:r w:rsidRPr="00423598">
        <w:rPr>
          <w:rFonts w:cs="CAGLHH+TimesNewRoman"/>
          <w:lang w:val="en-GB"/>
        </w:rPr>
        <w:t xml:space="preserve">, nos. 16064/90 and others, judgment of 18 September 2009, §§ 147-149; ECtHR, </w:t>
      </w:r>
      <w:r w:rsidRPr="00423598">
        <w:rPr>
          <w:rFonts w:cs="CAGLHH+TimesNewRoman"/>
          <w:i/>
          <w:lang w:val="en-GB"/>
        </w:rPr>
        <w:t xml:space="preserve">Cyprus v. Turkey </w:t>
      </w:r>
      <w:r w:rsidRPr="00423598">
        <w:rPr>
          <w:rFonts w:cs="CAGLHH+TimesNewRoman"/>
          <w:lang w:val="en-GB"/>
        </w:rPr>
        <w:t xml:space="preserve">[GC] no. </w:t>
      </w:r>
      <w:r w:rsidRPr="00423598">
        <w:rPr>
          <w:rStyle w:val="s85f22697"/>
          <w:lang w:val="en-GB"/>
        </w:rPr>
        <w:t>25781/94, judgment of 10 May 2001,</w:t>
      </w:r>
      <w:r w:rsidRPr="00423598">
        <w:rPr>
          <w:rFonts w:cs="CAGLHH+TimesNewRoman"/>
          <w:lang w:val="en-GB"/>
        </w:rPr>
        <w:t xml:space="preserve"> § 136, ECHR 2001-IV).</w:t>
      </w:r>
      <w:bookmarkEnd w:id="30"/>
      <w:r w:rsidRPr="00423598">
        <w:rPr>
          <w:rFonts w:cs="CAGLHH+TimesNewRoman"/>
          <w:lang w:val="en-GB"/>
        </w:rPr>
        <w:t xml:space="preserve"> </w:t>
      </w:r>
    </w:p>
    <w:p w:rsidR="003E3F85" w:rsidRPr="00423598" w:rsidRDefault="003E3F85" w:rsidP="003E3F85">
      <w:pPr>
        <w:jc w:val="both"/>
        <w:rPr>
          <w:lang w:val="en-GB"/>
        </w:rPr>
      </w:pPr>
    </w:p>
    <w:p w:rsidR="003E3F85" w:rsidRPr="00423598" w:rsidRDefault="003E3F85" w:rsidP="003E3F85">
      <w:pPr>
        <w:pStyle w:val="ListParagraph"/>
        <w:numPr>
          <w:ilvl w:val="1"/>
          <w:numId w:val="1"/>
        </w:numPr>
        <w:tabs>
          <w:tab w:val="clear" w:pos="360"/>
          <w:tab w:val="left" w:pos="357"/>
        </w:tabs>
        <w:autoSpaceDE w:val="0"/>
        <w:contextualSpacing/>
        <w:jc w:val="both"/>
        <w:rPr>
          <w:b/>
          <w:bCs/>
          <w:lang w:val="en-GB"/>
        </w:rPr>
      </w:pPr>
      <w:r w:rsidRPr="00423598">
        <w:rPr>
          <w:b/>
          <w:bCs/>
          <w:lang w:val="en-GB"/>
        </w:rPr>
        <w:t xml:space="preserve">The Parties’ submissions </w:t>
      </w:r>
    </w:p>
    <w:p w:rsidR="003E3F85" w:rsidRPr="00423598" w:rsidRDefault="003E3F85" w:rsidP="003E3F85">
      <w:pPr>
        <w:rPr>
          <w:b/>
          <w:lang w:val="en-GB"/>
        </w:rPr>
      </w:pPr>
    </w:p>
    <w:p w:rsidR="003E3F85" w:rsidRPr="00423598" w:rsidRDefault="003E3F85" w:rsidP="003E3F85">
      <w:pPr>
        <w:numPr>
          <w:ilvl w:val="0"/>
          <w:numId w:val="2"/>
        </w:numPr>
        <w:suppressAutoHyphens/>
        <w:autoSpaceDE w:val="0"/>
        <w:jc w:val="both"/>
        <w:rPr>
          <w:lang w:val="en-GB"/>
        </w:rPr>
      </w:pPr>
      <w:r w:rsidRPr="00423598">
        <w:rPr>
          <w:lang w:val="en-GB"/>
        </w:rPr>
        <w:t>The complainant in substance alleges a violation concerning the lack of an adequate criminal investigation into</w:t>
      </w:r>
      <w:r w:rsidR="002948A6" w:rsidRPr="00423598">
        <w:rPr>
          <w:lang w:val="en-GB"/>
        </w:rPr>
        <w:t xml:space="preserve"> the</w:t>
      </w:r>
      <w:r w:rsidR="00622236" w:rsidRPr="00423598">
        <w:rPr>
          <w:lang w:val="en-GB"/>
        </w:rPr>
        <w:t xml:space="preserve"> </w:t>
      </w:r>
      <w:r w:rsidR="00954A3E" w:rsidRPr="00423598">
        <w:rPr>
          <w:lang w:val="en-GB"/>
        </w:rPr>
        <w:t>abduction</w:t>
      </w:r>
      <w:r w:rsidR="00622236" w:rsidRPr="00423598">
        <w:rPr>
          <w:lang w:val="en-GB"/>
        </w:rPr>
        <w:t xml:space="preserve"> and</w:t>
      </w:r>
      <w:r w:rsidRPr="00423598">
        <w:rPr>
          <w:lang w:val="en-GB"/>
        </w:rPr>
        <w:t xml:space="preserve"> </w:t>
      </w:r>
      <w:r w:rsidR="00423598" w:rsidRPr="00423598">
        <w:rPr>
          <w:lang w:val="en-GB"/>
        </w:rPr>
        <w:t>killing</w:t>
      </w:r>
      <w:r w:rsidR="002948A6" w:rsidRPr="00423598">
        <w:rPr>
          <w:lang w:val="en-GB"/>
        </w:rPr>
        <w:t xml:space="preserve"> of </w:t>
      </w:r>
      <w:r w:rsidR="00814B10" w:rsidRPr="00423598">
        <w:rPr>
          <w:lang w:val="en-GB"/>
        </w:rPr>
        <w:t>Mr Rade Budimir</w:t>
      </w:r>
      <w:r w:rsidR="002948A6" w:rsidRPr="00423598">
        <w:rPr>
          <w:lang w:val="en-GB"/>
        </w:rPr>
        <w:t>.</w:t>
      </w:r>
    </w:p>
    <w:p w:rsidR="002948A6" w:rsidRPr="00423598" w:rsidRDefault="002948A6" w:rsidP="002948A6">
      <w:pPr>
        <w:suppressAutoHyphens/>
        <w:autoSpaceDE w:val="0"/>
        <w:ind w:left="360"/>
        <w:jc w:val="both"/>
        <w:rPr>
          <w:lang w:val="en-GB"/>
        </w:rPr>
      </w:pPr>
    </w:p>
    <w:p w:rsidR="003E3F85" w:rsidRPr="00423598" w:rsidRDefault="003E3F85" w:rsidP="003E3F85">
      <w:pPr>
        <w:numPr>
          <w:ilvl w:val="0"/>
          <w:numId w:val="2"/>
        </w:numPr>
        <w:suppressAutoHyphens/>
        <w:autoSpaceDE w:val="0"/>
        <w:jc w:val="both"/>
        <w:rPr>
          <w:bCs/>
          <w:lang w:val="en-GB"/>
        </w:rPr>
      </w:pPr>
      <w:r w:rsidRPr="00423598">
        <w:rPr>
          <w:bCs/>
          <w:lang w:val="en-GB"/>
        </w:rPr>
        <w:t xml:space="preserve">In his comments on the merits of the complaint, the SRSG </w:t>
      </w:r>
      <w:r w:rsidRPr="00423598">
        <w:rPr>
          <w:lang w:val="en-GB"/>
        </w:rPr>
        <w:t xml:space="preserve">does not dispute </w:t>
      </w:r>
      <w:r w:rsidRPr="00423598">
        <w:rPr>
          <w:bCs/>
          <w:lang w:val="en-GB"/>
        </w:rPr>
        <w:t xml:space="preserve">that UNMIK had a responsibility to conduct an effective investigation into </w:t>
      </w:r>
      <w:r w:rsidR="00622236" w:rsidRPr="00423598">
        <w:rPr>
          <w:lang w:val="en-GB"/>
        </w:rPr>
        <w:t xml:space="preserve">the </w:t>
      </w:r>
      <w:r w:rsidR="00954A3E" w:rsidRPr="00423598">
        <w:rPr>
          <w:lang w:val="en-GB"/>
        </w:rPr>
        <w:t>abduction</w:t>
      </w:r>
      <w:r w:rsidR="00423598" w:rsidRPr="00423598">
        <w:rPr>
          <w:lang w:val="en-GB"/>
        </w:rPr>
        <w:t xml:space="preserve"> and killing</w:t>
      </w:r>
      <w:r w:rsidR="00622236" w:rsidRPr="00423598">
        <w:rPr>
          <w:lang w:val="en-GB"/>
        </w:rPr>
        <w:t xml:space="preserve"> of </w:t>
      </w:r>
      <w:r w:rsidR="00814B10" w:rsidRPr="00423598">
        <w:rPr>
          <w:lang w:val="en-GB"/>
        </w:rPr>
        <w:t>Mr Rade Budimir</w:t>
      </w:r>
      <w:r w:rsidRPr="00423598">
        <w:rPr>
          <w:b/>
          <w:bCs/>
          <w:lang w:val="en-GB"/>
        </w:rPr>
        <w:t>,</w:t>
      </w:r>
      <w:r w:rsidRPr="00423598">
        <w:rPr>
          <w:bCs/>
          <w:lang w:val="en-GB"/>
        </w:rPr>
        <w:t xml:space="preserve"> in line with its general obligation to secure the effective implementation of the domestic laws which protect the right to life, given to it by UN Security Council Resolution 1244 (1999) (see § </w:t>
      </w:r>
      <w:r w:rsidRPr="00423598">
        <w:fldChar w:fldCharType="begin"/>
      </w:r>
      <w:r w:rsidRPr="00423598">
        <w:instrText xml:space="preserve"> REF _Ref373941473 \r \h  \* MERGEFORMAT </w:instrText>
      </w:r>
      <w:r w:rsidRPr="00423598">
        <w:fldChar w:fldCharType="separate"/>
      </w:r>
      <w:r w:rsidR="00423598" w:rsidRPr="00423598">
        <w:rPr>
          <w:bCs/>
          <w:lang w:val="en-GB"/>
        </w:rPr>
        <w:t>9</w:t>
      </w:r>
      <w:r w:rsidRPr="00423598">
        <w:fldChar w:fldCharType="end"/>
      </w:r>
      <w:r w:rsidRPr="00423598">
        <w:rPr>
          <w:bCs/>
          <w:lang w:val="en-GB"/>
        </w:rPr>
        <w:t xml:space="preserve"> above) and further defined by UNMIK Regulation No. 1999/1 </w:t>
      </w:r>
      <w:r w:rsidRPr="00423598">
        <w:rPr>
          <w:bCs/>
          <w:i/>
          <w:lang w:val="en-GB"/>
        </w:rPr>
        <w:t>On the Authority of the Interim Administration in Kosovo</w:t>
      </w:r>
      <w:r w:rsidRPr="00423598">
        <w:rPr>
          <w:bCs/>
          <w:lang w:val="en-GB"/>
        </w:rPr>
        <w:t xml:space="preserve"> and subsequently, UNMIK Regulation 1999/24 </w:t>
      </w:r>
      <w:r w:rsidRPr="00423598">
        <w:rPr>
          <w:bCs/>
          <w:i/>
          <w:lang w:val="en-GB"/>
        </w:rPr>
        <w:t>On the Law Applicable in Kosovo,</w:t>
      </w:r>
      <w:r w:rsidRPr="00423598">
        <w:rPr>
          <w:bCs/>
          <w:lang w:val="en-GB"/>
        </w:rPr>
        <w:t xml:space="preserve"> and Article 2 of the ECHR.</w:t>
      </w:r>
    </w:p>
    <w:p w:rsidR="003E3F85" w:rsidRPr="00423598" w:rsidRDefault="003E3F85" w:rsidP="003E3F85">
      <w:pPr>
        <w:suppressAutoHyphens/>
        <w:autoSpaceDE w:val="0"/>
        <w:ind w:left="360"/>
        <w:jc w:val="both"/>
        <w:rPr>
          <w:bCs/>
          <w:lang w:val="en-GB"/>
        </w:rPr>
      </w:pPr>
    </w:p>
    <w:p w:rsidR="003E3F85" w:rsidRPr="00423598" w:rsidRDefault="003E3F85" w:rsidP="003E3F85">
      <w:pPr>
        <w:numPr>
          <w:ilvl w:val="0"/>
          <w:numId w:val="2"/>
        </w:numPr>
        <w:suppressAutoHyphens/>
        <w:autoSpaceDE w:val="0"/>
        <w:jc w:val="both"/>
        <w:rPr>
          <w:bCs/>
          <w:lang w:val="en-GB"/>
        </w:rPr>
      </w:pPr>
      <w:r w:rsidRPr="00423598">
        <w:t>In this regard, the SRSG stresses that this responsibility stems from the procedural obligation under Article 2 of the ECHR to conduct an effective investigation where death occurs in suspicious circumstances not imputable to State agents.</w:t>
      </w:r>
      <w:bookmarkStart w:id="31" w:name="_Ref347846976"/>
      <w:r w:rsidRPr="00423598">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1"/>
    </w:p>
    <w:p w:rsidR="00BD43B1" w:rsidRPr="00423598" w:rsidRDefault="00BD43B1" w:rsidP="00BD43B1">
      <w:pPr>
        <w:pStyle w:val="ListParagraph"/>
        <w:rPr>
          <w:bCs/>
          <w:lang w:val="en-GB"/>
        </w:rPr>
      </w:pPr>
    </w:p>
    <w:p w:rsidR="00BD43B1" w:rsidRPr="00423598" w:rsidRDefault="00BD43B1" w:rsidP="00BD43B1">
      <w:pPr>
        <w:numPr>
          <w:ilvl w:val="0"/>
          <w:numId w:val="2"/>
        </w:numPr>
        <w:tabs>
          <w:tab w:val="left" w:pos="709"/>
        </w:tabs>
        <w:suppressAutoHyphens/>
        <w:autoSpaceDE w:val="0"/>
        <w:jc w:val="both"/>
        <w:rPr>
          <w:lang w:eastAsia="nl-NL"/>
        </w:rPr>
      </w:pPr>
      <w:r w:rsidRPr="00423598">
        <w:t xml:space="preserve">The </w:t>
      </w:r>
      <w:r w:rsidRPr="00423598">
        <w:rPr>
          <w:bCs/>
          <w:lang w:val="en-GB"/>
        </w:rPr>
        <w:t>SRSG</w:t>
      </w:r>
      <w:r w:rsidRPr="00423598">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423598" w:rsidRDefault="003E3F85" w:rsidP="003E3F85">
      <w:pPr>
        <w:pStyle w:val="ListParagraph"/>
        <w:rPr>
          <w:lang w:val="en-GB"/>
        </w:rPr>
      </w:pPr>
    </w:p>
    <w:p w:rsidR="003E3F85" w:rsidRPr="00423598" w:rsidRDefault="003E3F85" w:rsidP="003E3F85">
      <w:pPr>
        <w:numPr>
          <w:ilvl w:val="0"/>
          <w:numId w:val="2"/>
        </w:numPr>
        <w:tabs>
          <w:tab w:val="left" w:pos="709"/>
        </w:tabs>
        <w:suppressAutoHyphens/>
        <w:autoSpaceDE w:val="0"/>
        <w:jc w:val="both"/>
        <w:rPr>
          <w:bCs/>
          <w:lang w:val="en-GB"/>
        </w:rPr>
      </w:pPr>
      <w:r w:rsidRPr="00423598">
        <w:rPr>
          <w:lang w:val="en-GB"/>
        </w:rPr>
        <w:t xml:space="preserve">The SRSG adds that in June 1999, “the security situation </w:t>
      </w:r>
      <w:r w:rsidR="00622236" w:rsidRPr="00423598">
        <w:rPr>
          <w:lang w:val="en-GB"/>
        </w:rPr>
        <w:t xml:space="preserve">in post-conflict Kosovo was tense: </w:t>
      </w:r>
      <w:r w:rsidRPr="00423598">
        <w:rPr>
          <w:lang w:val="en-GB"/>
        </w:rPr>
        <w:t>KFOR was still in the process of reaching sufficient strength to maintain public safety and law and order</w:t>
      </w:r>
      <w:r w:rsidR="00622236" w:rsidRPr="00423598">
        <w:rPr>
          <w:lang w:val="en-GB"/>
        </w:rPr>
        <w:t>;</w:t>
      </w:r>
      <w:r w:rsidRPr="00423598">
        <w:rPr>
          <w:lang w:val="en-GB"/>
        </w:rPr>
        <w:t xml:space="preserve"> and there were a number of serious criminal incidents targeting Kosovo-Serbs, including abductions and killings.”</w:t>
      </w:r>
    </w:p>
    <w:p w:rsidR="003E3F85" w:rsidRPr="00423598" w:rsidRDefault="003E3F85" w:rsidP="00BD43B1">
      <w:pPr>
        <w:rPr>
          <w:lang w:val="en-GB"/>
        </w:rPr>
      </w:pPr>
    </w:p>
    <w:p w:rsidR="003E3F85" w:rsidRPr="00423598" w:rsidRDefault="003E3F85" w:rsidP="003E3F85">
      <w:pPr>
        <w:numPr>
          <w:ilvl w:val="0"/>
          <w:numId w:val="2"/>
        </w:numPr>
        <w:tabs>
          <w:tab w:val="left" w:pos="709"/>
        </w:tabs>
        <w:suppressAutoHyphens/>
        <w:autoSpaceDE w:val="0"/>
        <w:jc w:val="both"/>
        <w:rPr>
          <w:lang w:eastAsia="nl-NL"/>
        </w:rPr>
      </w:pPr>
      <w:bookmarkStart w:id="32" w:name="_Ref368311784"/>
      <w:r w:rsidRPr="00423598">
        <w:rPr>
          <w:bCs/>
        </w:rPr>
        <w:t xml:space="preserve">The SRSG argues that </w:t>
      </w:r>
      <w:r w:rsidRPr="00423598">
        <w:rPr>
          <w:lang w:val="en-GB"/>
        </w:rPr>
        <w:t>in</w:t>
      </w:r>
      <w:r w:rsidRPr="00423598">
        <w:rPr>
          <w:bCs/>
        </w:rPr>
        <w:t xml:space="preserve"> its case-law on Article 2, the European Court of Human Rights has stated </w:t>
      </w:r>
      <w:r w:rsidRPr="00423598">
        <w:rPr>
          <w:bCs/>
          <w:lang w:val="en-GB"/>
        </w:rPr>
        <w:t>that</w:t>
      </w:r>
      <w:r w:rsidRPr="00423598">
        <w:rPr>
          <w:bCs/>
        </w:rPr>
        <w:t xml:space="preserve"> due consideration shall be given to the difficulties inherent to post-conflict situations and the problems limiting the ability of investigating authorities</w:t>
      </w:r>
      <w:r w:rsidR="00711C23" w:rsidRPr="00423598">
        <w:rPr>
          <w:bCs/>
        </w:rPr>
        <w:t xml:space="preserve"> when conducting investigations in</w:t>
      </w:r>
      <w:r w:rsidRPr="00423598">
        <w:rPr>
          <w:bCs/>
        </w:rPr>
        <w:t xml:space="preserve"> such cases. </w:t>
      </w:r>
      <w:r w:rsidRPr="00423598">
        <w:t xml:space="preserve">In this regard, the SRSG recalls the judgment of 15 February 2011 rendered by the European Court in the case </w:t>
      </w:r>
      <w:r w:rsidRPr="00423598">
        <w:rPr>
          <w:i/>
        </w:rPr>
        <w:t>Palić v. Bosnia and Herzegovina</w:t>
      </w:r>
      <w:r w:rsidR="00711C23" w:rsidRPr="00423598">
        <w:rPr>
          <w:i/>
        </w:rPr>
        <w:t>,</w:t>
      </w:r>
      <w:r w:rsidRPr="00423598">
        <w:t xml:space="preserve"> stating at paragraph 70:</w:t>
      </w:r>
      <w:bookmarkEnd w:id="32"/>
    </w:p>
    <w:p w:rsidR="003E3F85" w:rsidRPr="00423598" w:rsidRDefault="003E3F85" w:rsidP="003E3F85">
      <w:pPr>
        <w:pStyle w:val="ListParagraph"/>
        <w:rPr>
          <w:lang w:eastAsia="nl-NL"/>
        </w:rPr>
      </w:pPr>
    </w:p>
    <w:p w:rsidR="003E3F85" w:rsidRPr="00423598" w:rsidRDefault="003E3F85" w:rsidP="00CA379B">
      <w:pPr>
        <w:ind w:left="862" w:right="567"/>
        <w:jc w:val="both"/>
        <w:rPr>
          <w:lang w:eastAsia="nl-NL"/>
        </w:rPr>
      </w:pPr>
      <w:r w:rsidRPr="00423598">
        <w:rPr>
          <w:lang w:eastAsia="nl-NL"/>
        </w:rPr>
        <w:t xml:space="preserve">“The Court takes into account the complex situation in Bosnia and Herzegovina, notably in the first ten years following the war. In such a post-conflict situation, </w:t>
      </w:r>
      <w:r w:rsidRPr="00423598">
        <w:rPr>
          <w:lang w:eastAsia="nl-NL"/>
        </w:rPr>
        <w:lastRenderedPageBreak/>
        <w:t>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423598" w:rsidRDefault="003E3F85" w:rsidP="003E3F85">
      <w:pPr>
        <w:pStyle w:val="ListParagraph"/>
        <w:rPr>
          <w:lang w:eastAsia="en-US"/>
        </w:rPr>
      </w:pPr>
    </w:p>
    <w:p w:rsidR="003E3F85" w:rsidRPr="00423598" w:rsidRDefault="003E3F85" w:rsidP="003E3F85">
      <w:pPr>
        <w:numPr>
          <w:ilvl w:val="0"/>
          <w:numId w:val="2"/>
        </w:numPr>
        <w:tabs>
          <w:tab w:val="left" w:pos="709"/>
        </w:tabs>
        <w:suppressAutoHyphens/>
        <w:autoSpaceDE w:val="0"/>
        <w:jc w:val="both"/>
        <w:rPr>
          <w:lang w:eastAsia="nl-NL"/>
        </w:rPr>
      </w:pPr>
      <w:r w:rsidRPr="00423598">
        <w:t xml:space="preserve">In the </w:t>
      </w:r>
      <w:r w:rsidRPr="00423598">
        <w:rPr>
          <w:bCs/>
          <w:lang w:val="en-GB"/>
        </w:rPr>
        <w:t>view</w:t>
      </w:r>
      <w:r w:rsidRPr="00423598">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423598" w:rsidRDefault="003E3F85" w:rsidP="003E3F85">
      <w:pPr>
        <w:pStyle w:val="Default"/>
        <w:tabs>
          <w:tab w:val="left" w:pos="720"/>
        </w:tabs>
        <w:ind w:left="360"/>
        <w:jc w:val="both"/>
        <w:rPr>
          <w:color w:val="auto"/>
          <w:lang w:val="en-GB"/>
        </w:rPr>
      </w:pPr>
      <w:bookmarkStart w:id="33" w:name="_Ref373834452"/>
    </w:p>
    <w:p w:rsidR="003E3F85" w:rsidRPr="00423598" w:rsidRDefault="003E3F85" w:rsidP="003E3F85">
      <w:pPr>
        <w:numPr>
          <w:ilvl w:val="0"/>
          <w:numId w:val="2"/>
        </w:numPr>
        <w:tabs>
          <w:tab w:val="left" w:pos="709"/>
        </w:tabs>
        <w:suppressAutoHyphens/>
        <w:autoSpaceDE w:val="0"/>
        <w:jc w:val="both"/>
      </w:pPr>
      <w:bookmarkStart w:id="34" w:name="_Ref373935636"/>
      <w:r w:rsidRPr="00423598">
        <w:rPr>
          <w:lang w:val="en-GB"/>
        </w:rPr>
        <w:t xml:space="preserve">The SRSG explains that in June 2002, UNMIK created the OMPF with the mandate to </w:t>
      </w:r>
      <w:r w:rsidRPr="00423598">
        <w:rPr>
          <w:bCs/>
          <w:lang w:val="en-GB"/>
        </w:rPr>
        <w:t>determine</w:t>
      </w:r>
      <w:r w:rsidRPr="00423598">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“for establishing a system capable of dealing effectively with disappearances and other serious violations of international humanitarian law has been an</w:t>
      </w:r>
      <w:r w:rsidR="00237A05" w:rsidRPr="00423598">
        <w:rPr>
          <w:lang w:val="en-GB"/>
        </w:rPr>
        <w:t xml:space="preserve"> </w:t>
      </w:r>
      <w:r w:rsidRPr="00423598">
        <w:rPr>
          <w:lang w:val="en-GB"/>
        </w:rPr>
        <w:t>incremental one in the Kosovo context, and this principle has been reflected in the</w:t>
      </w:r>
      <w:r w:rsidR="004F45E5" w:rsidRPr="00423598">
        <w:rPr>
          <w:lang w:val="en-GB"/>
        </w:rPr>
        <w:t xml:space="preserve"> abovementioned</w:t>
      </w:r>
      <w:r w:rsidRPr="00423598">
        <w:rPr>
          <w:lang w:val="en-GB"/>
        </w:rPr>
        <w:t xml:space="preserve"> </w:t>
      </w:r>
      <w:r w:rsidRPr="00423598">
        <w:rPr>
          <w:i/>
          <w:lang w:val="en-GB"/>
        </w:rPr>
        <w:t>Palić</w:t>
      </w:r>
      <w:r w:rsidRPr="00423598">
        <w:rPr>
          <w:lang w:val="en-GB"/>
        </w:rPr>
        <w:t xml:space="preserve"> case</w:t>
      </w:r>
      <w:r w:rsidR="004F45E5" w:rsidRPr="00423598">
        <w:rPr>
          <w:lang w:val="en-GB"/>
        </w:rPr>
        <w:t>…</w:t>
      </w:r>
      <w:r w:rsidRPr="00423598">
        <w:rPr>
          <w:lang w:val="en-GB"/>
        </w:rPr>
        <w:t xml:space="preserve">” The SRSG </w:t>
      </w:r>
      <w:r w:rsidR="00711C23" w:rsidRPr="00423598">
        <w:t>adds</w:t>
      </w:r>
      <w:r w:rsidRPr="00423598">
        <w:rPr>
          <w:lang w:val="en-GB"/>
        </w:rPr>
        <w:t xml:space="preserve"> that the process was reliant upon a number of actors other than just UNMIK, for example the ICMP, the ICRC and local missing </w:t>
      </w:r>
      <w:proofErr w:type="gramStart"/>
      <w:r w:rsidRPr="00423598">
        <w:rPr>
          <w:lang w:val="en-GB"/>
        </w:rPr>
        <w:t>persons</w:t>
      </w:r>
      <w:proofErr w:type="gramEnd"/>
      <w:r w:rsidRPr="00423598">
        <w:rPr>
          <w:lang w:val="en-GB"/>
        </w:rPr>
        <w:t xml:space="preserve"> organisations. </w:t>
      </w:r>
      <w:bookmarkEnd w:id="33"/>
      <w:bookmarkEnd w:id="34"/>
    </w:p>
    <w:p w:rsidR="003E3F85" w:rsidRPr="00423598" w:rsidRDefault="003E3F85" w:rsidP="003E3F85">
      <w:pPr>
        <w:pStyle w:val="ListParagraph"/>
        <w:autoSpaceDE w:val="0"/>
        <w:ind w:left="450"/>
        <w:jc w:val="both"/>
      </w:pPr>
    </w:p>
    <w:p w:rsidR="003E3F85" w:rsidRPr="00423598" w:rsidRDefault="003E3F85" w:rsidP="003E3F85">
      <w:pPr>
        <w:numPr>
          <w:ilvl w:val="0"/>
          <w:numId w:val="2"/>
        </w:numPr>
        <w:tabs>
          <w:tab w:val="left" w:pos="709"/>
        </w:tabs>
        <w:suppressAutoHyphens/>
        <w:autoSpaceDE w:val="0"/>
        <w:jc w:val="both"/>
        <w:rPr>
          <w:lang w:eastAsia="nl-NL"/>
        </w:rPr>
      </w:pPr>
      <w:bookmarkStart w:id="35" w:name="_Ref373942084"/>
      <w:r w:rsidRPr="00423598">
        <w:t xml:space="preserve">The </w:t>
      </w:r>
      <w:r w:rsidRPr="00423598">
        <w:rPr>
          <w:bCs/>
          <w:lang w:val="en-GB"/>
        </w:rPr>
        <w:t>SRSG</w:t>
      </w:r>
      <w:r w:rsidRPr="00423598">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5"/>
    </w:p>
    <w:p w:rsidR="003E3F85" w:rsidRPr="00423598" w:rsidRDefault="003E3F85" w:rsidP="003E3F85">
      <w:pPr>
        <w:pStyle w:val="ListParagraph"/>
        <w:rPr>
          <w:lang w:eastAsia="nl-NL"/>
        </w:rPr>
      </w:pPr>
    </w:p>
    <w:p w:rsidR="003E3F85" w:rsidRPr="00423598" w:rsidRDefault="003E3F85" w:rsidP="00CA379B">
      <w:pPr>
        <w:ind w:left="862" w:right="567"/>
        <w:jc w:val="both"/>
        <w:rPr>
          <w:lang w:eastAsia="nl-NL"/>
        </w:rPr>
      </w:pPr>
      <w:r w:rsidRPr="00423598">
        <w:rPr>
          <w:lang w:eastAsia="nl-NL"/>
        </w:rPr>
        <w:t xml:space="preserve">“UNMIK Police had to deal with the aftermath of war, with dead bodies and the looted and burned houses. Ethnic violence flared through illegal evictions, </w:t>
      </w:r>
      <w:r w:rsidRPr="00423598">
        <w:rPr>
          <w:lang w:eastAsia="nl-NL"/>
        </w:rPr>
        <w:lastRenderedPageBreak/>
        <w:t xml:space="preserve">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423598" w:rsidRDefault="003E3F85" w:rsidP="003E3F85">
      <w:pPr>
        <w:pStyle w:val="ListParagraph"/>
        <w:jc w:val="both"/>
        <w:rPr>
          <w:lang w:eastAsia="nl-NL"/>
        </w:rPr>
      </w:pPr>
    </w:p>
    <w:p w:rsidR="003E3F85" w:rsidRPr="00423598" w:rsidRDefault="003E3F85" w:rsidP="00CA379B">
      <w:pPr>
        <w:ind w:left="862" w:right="567"/>
        <w:jc w:val="both"/>
        <w:rPr>
          <w:lang w:eastAsia="nl-NL"/>
        </w:rPr>
      </w:pPr>
      <w:r w:rsidRPr="00423598">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423598" w:rsidRDefault="003E3F85" w:rsidP="003E3F85">
      <w:pPr>
        <w:pStyle w:val="ListParagraph"/>
        <w:rPr>
          <w:lang w:eastAsia="en-US"/>
        </w:rPr>
      </w:pPr>
    </w:p>
    <w:p w:rsidR="003E3F85" w:rsidRPr="00423598" w:rsidRDefault="003E3F85" w:rsidP="003E3F85">
      <w:pPr>
        <w:numPr>
          <w:ilvl w:val="0"/>
          <w:numId w:val="2"/>
        </w:numPr>
        <w:tabs>
          <w:tab w:val="left" w:pos="709"/>
        </w:tabs>
        <w:suppressAutoHyphens/>
        <w:autoSpaceDE w:val="0"/>
        <w:jc w:val="both"/>
        <w:rPr>
          <w:lang w:eastAsia="nl-NL"/>
        </w:rPr>
      </w:pPr>
      <w:r w:rsidRPr="00423598">
        <w:t xml:space="preserve">The SRSG states that UNMIK international police officers had to adjust to conducting </w:t>
      </w:r>
      <w:r w:rsidRPr="00423598">
        <w:rPr>
          <w:bCs/>
          <w:lang w:val="en-GB"/>
        </w:rPr>
        <w:t>investigations</w:t>
      </w:r>
      <w:r w:rsidRPr="00423598">
        <w:t xml:space="preserve"> in</w:t>
      </w:r>
      <w:r w:rsidR="00D142E8">
        <w:t xml:space="preserve"> a foreign territory and cultures</w:t>
      </w:r>
      <w:bookmarkStart w:id="36" w:name="_GoBack"/>
      <w:bookmarkEnd w:id="36"/>
      <w:r w:rsidRPr="00423598">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423598">
        <w:t>[</w:t>
      </w:r>
      <w:r w:rsidRPr="00423598">
        <w:t>s</w:t>
      </w:r>
      <w:r w:rsidR="002948A6" w:rsidRPr="00423598">
        <w:t>]</w:t>
      </w:r>
      <w:r w:rsidRPr="00423598">
        <w:t>uch constraints inhibited the ability of</w:t>
      </w:r>
      <w:r w:rsidR="002948A6" w:rsidRPr="00423598">
        <w:t xml:space="preserve"> an institution such as</w:t>
      </w:r>
      <w:r w:rsidRPr="00423598">
        <w:t xml:space="preserve"> UNMIK Police</w:t>
      </w:r>
      <w:r w:rsidR="00A437DF" w:rsidRPr="00423598">
        <w:t xml:space="preserve"> to conduct</w:t>
      </w:r>
      <w:r w:rsidR="002948A6" w:rsidRPr="00423598">
        <w:t xml:space="preserve"> all</w:t>
      </w:r>
      <w:r w:rsidRPr="00423598">
        <w:t xml:space="preserve"> investigation</w:t>
      </w:r>
      <w:r w:rsidR="002948A6" w:rsidRPr="00423598">
        <w:t>s in a manner […] that</w:t>
      </w:r>
      <w:r w:rsidRPr="00423598">
        <w:t xml:space="preserve"> may be demonstrated</w:t>
      </w:r>
      <w:r w:rsidR="004F45E5" w:rsidRPr="00423598">
        <w:t xml:space="preserve"> by</w:t>
      </w:r>
      <w:r w:rsidRPr="00423598">
        <w:t>, or</w:t>
      </w:r>
      <w:r w:rsidR="002948A6" w:rsidRPr="00423598">
        <w:t xml:space="preserve"> at least</w:t>
      </w:r>
      <w:r w:rsidRPr="00423598">
        <w:t xml:space="preserve"> expected</w:t>
      </w:r>
      <w:r w:rsidR="004F45E5" w:rsidRPr="00423598">
        <w:t xml:space="preserve"> from</w:t>
      </w:r>
      <w:r w:rsidRPr="00423598">
        <w:t>,</w:t>
      </w:r>
      <w:r w:rsidR="002948A6" w:rsidRPr="00423598">
        <w:t xml:space="preserve"> other</w:t>
      </w:r>
      <w:r w:rsidRPr="00423598">
        <w:t xml:space="preserve"> States with</w:t>
      </w:r>
      <w:r w:rsidR="002948A6" w:rsidRPr="00423598">
        <w:t xml:space="preserve"> more</w:t>
      </w:r>
      <w:r w:rsidRPr="00423598">
        <w:t xml:space="preserve"> established</w:t>
      </w:r>
      <w:r w:rsidR="00A437DF" w:rsidRPr="00423598">
        <w:t xml:space="preserve"> </w:t>
      </w:r>
      <w:r w:rsidRPr="00423598">
        <w:t>institutions</w:t>
      </w:r>
      <w:r w:rsidR="00A437DF" w:rsidRPr="00423598">
        <w:t xml:space="preserve"> and without the surge in cases of this nature</w:t>
      </w:r>
      <w:r w:rsidRPr="00423598">
        <w:t xml:space="preserve"> </w:t>
      </w:r>
      <w:r w:rsidR="00A437DF" w:rsidRPr="00423598">
        <w:t>associated with a post-conflict situation</w:t>
      </w:r>
      <w:r w:rsidRPr="00423598">
        <w:t>.”</w:t>
      </w:r>
      <w:bookmarkStart w:id="37" w:name="_Ref387249369"/>
      <w:bookmarkStart w:id="38" w:name="_Ref373946471"/>
      <w:bookmarkStart w:id="39" w:name="_Ref366698716"/>
    </w:p>
    <w:p w:rsidR="003E3F85" w:rsidRPr="00423598" w:rsidRDefault="003E3F85" w:rsidP="003E3F85">
      <w:pPr>
        <w:tabs>
          <w:tab w:val="left" w:pos="709"/>
        </w:tabs>
        <w:suppressAutoHyphens/>
        <w:autoSpaceDE w:val="0"/>
        <w:ind w:left="360"/>
        <w:jc w:val="both"/>
        <w:rPr>
          <w:lang w:eastAsia="nl-NL"/>
        </w:rPr>
      </w:pPr>
    </w:p>
    <w:p w:rsidR="004F45E5" w:rsidRPr="00423598" w:rsidRDefault="003E3F85" w:rsidP="00622236">
      <w:pPr>
        <w:numPr>
          <w:ilvl w:val="0"/>
          <w:numId w:val="2"/>
        </w:numPr>
        <w:tabs>
          <w:tab w:val="left" w:pos="709"/>
        </w:tabs>
        <w:suppressAutoHyphens/>
        <w:autoSpaceDE w:val="0"/>
        <w:jc w:val="both"/>
      </w:pPr>
      <w:bookmarkStart w:id="40" w:name="_Ref400716090"/>
      <w:bookmarkStart w:id="41" w:name="_Ref397946236"/>
      <w:bookmarkStart w:id="42" w:name="_Ref390942754"/>
      <w:bookmarkStart w:id="43" w:name="_Ref401246390"/>
      <w:r w:rsidRPr="00423598">
        <w:rPr>
          <w:bCs/>
          <w:lang w:val="en-GB"/>
        </w:rPr>
        <w:t>With</w:t>
      </w:r>
      <w:r w:rsidRPr="00423598">
        <w:t xml:space="preserve"> regard to this particular case, in relation to the first leg of the obligation related to the procedural element of Article 2 of the ECHR, the SRSG </w:t>
      </w:r>
      <w:r w:rsidR="00622236" w:rsidRPr="00423598">
        <w:t>asserts that “</w:t>
      </w:r>
      <w:r w:rsidR="004F45E5" w:rsidRPr="00423598">
        <w:t>UNMIK complied with its obligation to determine the fate and whereabouts of Mr. Rade Budimir, by opening and pursuing an investigation on the basis of the information received</w:t>
      </w:r>
      <w:bookmarkEnd w:id="37"/>
      <w:bookmarkEnd w:id="38"/>
      <w:bookmarkEnd w:id="40"/>
      <w:bookmarkEnd w:id="41"/>
      <w:bookmarkEnd w:id="42"/>
      <w:r w:rsidR="004F45E5" w:rsidRPr="00423598">
        <w:t xml:space="preserve">...” </w:t>
      </w:r>
      <w:r w:rsidR="00954A3E" w:rsidRPr="00423598">
        <w:t>First</w:t>
      </w:r>
      <w:r w:rsidR="004F45E5" w:rsidRPr="00423598">
        <w:t>, he notes that the complainant</w:t>
      </w:r>
      <w:r w:rsidR="00954A3E" w:rsidRPr="00423598">
        <w:t xml:space="preserve"> offered no evidence to support the claim that the four men arrested in the apartment were unlawfully in possession of the apartment keys. Further, the complainant </w:t>
      </w:r>
      <w:r w:rsidR="004F45E5" w:rsidRPr="00423598">
        <w:t xml:space="preserve">provided HRAP with inconsistent information on the modalities of the alleged arrest and search of the four Albanian </w:t>
      </w:r>
      <w:r w:rsidR="00954A3E" w:rsidRPr="00423598">
        <w:t>men who</w:t>
      </w:r>
      <w:r w:rsidR="004F45E5" w:rsidRPr="00423598">
        <w:t xml:space="preserve"> allegedly were arrested in Mr Rade Budimir’s apartment shortly after his disappearance. “Indeed, in her HRAP Application of 6 April 2009, the Complainant attributes the operation to unspecified KFOR operatives, whereas in her communication to HRAP on 24 May 2010 she refers to an UNMIK operation.”</w:t>
      </w:r>
      <w:bookmarkEnd w:id="43"/>
      <w:r w:rsidR="004F45E5" w:rsidRPr="00423598">
        <w:t xml:space="preserve"> </w:t>
      </w:r>
    </w:p>
    <w:p w:rsidR="004F45E5" w:rsidRPr="00423598" w:rsidRDefault="004F45E5" w:rsidP="004F45E5">
      <w:pPr>
        <w:pStyle w:val="ListParagraph"/>
      </w:pPr>
    </w:p>
    <w:p w:rsidR="004F45E5" w:rsidRPr="00423598" w:rsidRDefault="004F45E5" w:rsidP="00622236">
      <w:pPr>
        <w:numPr>
          <w:ilvl w:val="0"/>
          <w:numId w:val="2"/>
        </w:numPr>
        <w:tabs>
          <w:tab w:val="left" w:pos="709"/>
        </w:tabs>
        <w:suppressAutoHyphens/>
        <w:autoSpaceDE w:val="0"/>
        <w:jc w:val="both"/>
      </w:pPr>
      <w:r w:rsidRPr="00423598">
        <w:t xml:space="preserve">The SRSG notes that “the incident was filed by UNMIK MPU under reference number no. 1999-000191 and by UNMIK CCIU </w:t>
      </w:r>
      <w:r w:rsidR="00423598" w:rsidRPr="00423598">
        <w:t>under reference number no. 2000</w:t>
      </w:r>
      <w:r w:rsidRPr="00423598">
        <w:t>-00075. It transpires from an UNMIK MPU memorandum dated 17 February 2000 that the MPU file was opened ‘on (very poor) information coming from the Centre for Peace and Tolerance’…The file received by EULEX does not explain why UNMIK MPU was informed of the disappearance of Mr. Budimir only indirectly…” The SRSG notes that on 17 February 2000, UNMIK Police sent a request to various Police offices asking</w:t>
      </w:r>
      <w:r w:rsidR="00954A3E" w:rsidRPr="00423598">
        <w:t xml:space="preserve"> them</w:t>
      </w:r>
      <w:r w:rsidRPr="00423598">
        <w:t xml:space="preserve"> to check their databases and to gather additional information on this matter. After receiving negative replies, “the Missing Person Report prepared by UNMIK CCIU on 26 February 2000 stated that the investigation in the case of Mr. Budimir was inactive.”</w:t>
      </w:r>
    </w:p>
    <w:p w:rsidR="004F45E5" w:rsidRPr="00423598" w:rsidRDefault="004F45E5" w:rsidP="004F45E5">
      <w:pPr>
        <w:pStyle w:val="ListParagraph"/>
      </w:pPr>
    </w:p>
    <w:p w:rsidR="004F45E5" w:rsidRPr="00423598" w:rsidRDefault="004F45E5" w:rsidP="00622236">
      <w:pPr>
        <w:numPr>
          <w:ilvl w:val="0"/>
          <w:numId w:val="2"/>
        </w:numPr>
        <w:tabs>
          <w:tab w:val="left" w:pos="709"/>
        </w:tabs>
        <w:suppressAutoHyphens/>
        <w:autoSpaceDE w:val="0"/>
        <w:jc w:val="both"/>
      </w:pPr>
      <w:bookmarkStart w:id="44" w:name="_Ref400971896"/>
      <w:r w:rsidRPr="00423598">
        <w:lastRenderedPageBreak/>
        <w:t xml:space="preserve">The SRSG also notes that “[t]he first phase of the identification of the victim’s whereabouts was handled by the ICTY and by the OSCE Mission in Kosovo (OMIK), before the MPU took over the investigation. In June 2000, the victim’s remains were exhumed from the Dragodan cemetery in Prishtinë/Priština, by an OSCE British team. The ICTY autopsy took place on 19 June 2000 at the Prishtinë/Priština mortuary…A death certificate was issued by the OSCE Mission on 22 November 2000. On 4 December 2000, UNMIK MPU closed the file for Mr. Budimir, based on the OSCE documentation. An identification certificate was issued by UNMIK, Pillar II, Department of Public Services, on 29 May 2001, and a Death Certificate was issued on 7 June 2001…An MPU Case Continuation Report for this investigation contains police investigation inputs dated 10 June and 12 June 2002, in connection with the re-exhumation…A Confirmation of Identity Certificate issued by the OMPF on 12 September 2002 attests that UNMIK compared </w:t>
      </w:r>
      <w:r w:rsidRPr="00423598">
        <w:rPr>
          <w:i/>
        </w:rPr>
        <w:t xml:space="preserve">ante-mortem </w:t>
      </w:r>
      <w:r w:rsidRPr="00423598">
        <w:t xml:space="preserve">and </w:t>
      </w:r>
      <w:r w:rsidRPr="00423598">
        <w:rPr>
          <w:i/>
        </w:rPr>
        <w:t xml:space="preserve">post-mortem </w:t>
      </w:r>
      <w:r w:rsidRPr="00423598">
        <w:t>information, corroborating DNA-analysis results provided by the ICMP on 26 August 2002, and identifying the abovementioned mortal remains as those of Mr. Rade Budimir. On this basis, an Identification Certificate was issued by UNMIK MPU on 12 September 2002, to allow UNMIK to hand over the remains to the Complainant on 13 September 2002. A Death Certificate was issued by the UNMIK DOJ/OMPF for Mr. Budimir, on 13 February 2003. The UNMIK MPU file was closed on the same date.” The SRSG argues that “it appears that UNMIK complied with its obligation to determine through an appropriate investigation [into] the fate and whereabouts of Mr. Budimir.”</w:t>
      </w:r>
      <w:bookmarkEnd w:id="44"/>
    </w:p>
    <w:p w:rsidR="004F45E5" w:rsidRPr="00423598" w:rsidRDefault="004F45E5" w:rsidP="004F45E5">
      <w:pPr>
        <w:tabs>
          <w:tab w:val="left" w:pos="709"/>
        </w:tabs>
        <w:suppressAutoHyphens/>
        <w:autoSpaceDE w:val="0"/>
        <w:ind w:left="360"/>
        <w:jc w:val="both"/>
      </w:pPr>
    </w:p>
    <w:p w:rsidR="004F45E5" w:rsidRPr="00423598" w:rsidRDefault="003E3F85" w:rsidP="004F45E5">
      <w:pPr>
        <w:numPr>
          <w:ilvl w:val="0"/>
          <w:numId w:val="2"/>
        </w:numPr>
        <w:tabs>
          <w:tab w:val="left" w:pos="709"/>
        </w:tabs>
        <w:suppressAutoHyphens/>
        <w:autoSpaceDE w:val="0"/>
        <w:jc w:val="both"/>
      </w:pPr>
      <w:bookmarkStart w:id="45" w:name="_Ref400968451"/>
      <w:bookmarkStart w:id="46" w:name="_Ref400720477"/>
      <w:bookmarkStart w:id="47" w:name="_Ref387312771"/>
      <w:bookmarkStart w:id="48" w:name="_Ref379796769"/>
      <w:bookmarkStart w:id="49" w:name="_Ref394499076"/>
      <w:r w:rsidRPr="00423598">
        <w:rPr>
          <w:bCs/>
          <w:lang w:val="en-GB"/>
        </w:rPr>
        <w:t>With respect to the investigation aimed at identifying and bringing to justice t</w:t>
      </w:r>
      <w:r w:rsidR="00622236" w:rsidRPr="00423598">
        <w:rPr>
          <w:bCs/>
          <w:lang w:val="en-GB"/>
        </w:rPr>
        <w:t xml:space="preserve">hose responsible for the </w:t>
      </w:r>
      <w:r w:rsidR="00954A3E" w:rsidRPr="00423598">
        <w:rPr>
          <w:bCs/>
          <w:lang w:val="en-GB"/>
        </w:rPr>
        <w:t>abduction</w:t>
      </w:r>
      <w:r w:rsidR="00622236" w:rsidRPr="00423598">
        <w:rPr>
          <w:bCs/>
          <w:lang w:val="en-GB"/>
        </w:rPr>
        <w:t xml:space="preserve"> and death</w:t>
      </w:r>
      <w:r w:rsidRPr="00423598">
        <w:rPr>
          <w:bCs/>
          <w:lang w:val="en-GB"/>
        </w:rPr>
        <w:t xml:space="preserve"> of </w:t>
      </w:r>
      <w:r w:rsidR="002948A6" w:rsidRPr="00423598">
        <w:rPr>
          <w:lang w:val="en-GB"/>
        </w:rPr>
        <w:t xml:space="preserve">Mr </w:t>
      </w:r>
      <w:r w:rsidR="004F45E5" w:rsidRPr="00423598">
        <w:t>Rade Budimir</w:t>
      </w:r>
      <w:r w:rsidRPr="00423598">
        <w:t>, the SRSG submits that</w:t>
      </w:r>
      <w:r w:rsidR="002948A6" w:rsidRPr="00423598">
        <w:t xml:space="preserve"> </w:t>
      </w:r>
      <w:r w:rsidR="00954A3E" w:rsidRPr="00423598">
        <w:t xml:space="preserve">      </w:t>
      </w:r>
      <w:r w:rsidR="002948A6" w:rsidRPr="00423598">
        <w:t>“</w:t>
      </w:r>
      <w:r w:rsidR="004F45E5" w:rsidRPr="00423598">
        <w:t xml:space="preserve"> [t]he investigative files</w:t>
      </w:r>
      <w:r w:rsidR="00954A3E" w:rsidRPr="00423598">
        <w:t xml:space="preserve"> made available so far, …</w:t>
      </w:r>
      <w:r w:rsidR="004F45E5" w:rsidRPr="00423598">
        <w:t xml:space="preserve"> do not provide clear evidence with respect to the second aspect of the procedural requirement of Article 2, ECHR…” He also notes that the complainant, as an active member and later chairwoman of the Family Association of Missing Persons, had “regular and first hand access to UNMIK Police sources and could therefore be kept continuously abreast of all the investigative efforts deployed by UNMIK into…her husband’s case….On the other hand, the Complainant would have clearly been in a privileged position to provide the UNMIK Police with any other relevant information and investigation leads at any point in time, at least in 2001 and 2002. However, the investigation files made available to UNMIK reveal an overall dearth of information. Apart from the information initially provided by the Complainant to the Centre for Peace and Tolerance, no further witnesses of the alleged abduction and killing came forward at any later point in time.”</w:t>
      </w:r>
      <w:bookmarkEnd w:id="45"/>
    </w:p>
    <w:bookmarkEnd w:id="46"/>
    <w:p w:rsidR="00622236" w:rsidRPr="00423598" w:rsidRDefault="00622236" w:rsidP="00622236">
      <w:pPr>
        <w:tabs>
          <w:tab w:val="left" w:pos="709"/>
        </w:tabs>
        <w:suppressAutoHyphens/>
        <w:autoSpaceDE w:val="0"/>
        <w:jc w:val="both"/>
      </w:pPr>
    </w:p>
    <w:p w:rsidR="00D705B2" w:rsidRPr="00423598" w:rsidRDefault="002948A6" w:rsidP="00D705B2">
      <w:pPr>
        <w:numPr>
          <w:ilvl w:val="0"/>
          <w:numId w:val="2"/>
        </w:numPr>
        <w:tabs>
          <w:tab w:val="left" w:pos="709"/>
        </w:tabs>
        <w:suppressAutoHyphens/>
        <w:autoSpaceDE w:val="0"/>
        <w:jc w:val="both"/>
        <w:rPr>
          <w:bCs/>
          <w:lang w:val="en-GB"/>
        </w:rPr>
      </w:pPr>
      <w:bookmarkStart w:id="50" w:name="_Ref400976030"/>
      <w:bookmarkStart w:id="51" w:name="_Ref397951665"/>
      <w:r w:rsidRPr="00423598">
        <w:rPr>
          <w:bCs/>
          <w:lang w:val="en-GB"/>
        </w:rPr>
        <w:t>The SRSG</w:t>
      </w:r>
      <w:r w:rsidR="00622236" w:rsidRPr="00423598">
        <w:rPr>
          <w:bCs/>
          <w:lang w:val="en-GB"/>
        </w:rPr>
        <w:t xml:space="preserve"> also argues that “</w:t>
      </w:r>
      <w:r w:rsidR="003E3F85" w:rsidRPr="00423598">
        <w:t>UNMIK has noted in other missing persons’ cases,</w:t>
      </w:r>
      <w:r w:rsidR="00A437DF" w:rsidRPr="00423598">
        <w:t xml:space="preserve"> </w:t>
      </w:r>
      <w:r w:rsidR="003E3F85" w:rsidRPr="00423598">
        <w:t>without</w:t>
      </w:r>
      <w:r w:rsidR="00622236" w:rsidRPr="00423598">
        <w:t xml:space="preserve"> </w:t>
      </w:r>
      <w:proofErr w:type="gramStart"/>
      <w:r w:rsidR="00622236" w:rsidRPr="00423598">
        <w:t xml:space="preserve">witnesses </w:t>
      </w:r>
      <w:r w:rsidR="00D705B2" w:rsidRPr="00423598">
        <w:t>coming</w:t>
      </w:r>
      <w:proofErr w:type="gramEnd"/>
      <w:r w:rsidR="00D705B2" w:rsidRPr="00423598">
        <w:t xml:space="preserve"> forward</w:t>
      </w:r>
      <w:r w:rsidRPr="00423598">
        <w:t xml:space="preserve"> </w:t>
      </w:r>
      <w:r w:rsidR="00D705B2" w:rsidRPr="00423598">
        <w:t>or</w:t>
      </w:r>
      <w:r w:rsidRPr="00423598">
        <w:t xml:space="preserve"> </w:t>
      </w:r>
      <w:r w:rsidR="003E3F85" w:rsidRPr="00423598">
        <w:t>physical evidence being discovered,</w:t>
      </w:r>
      <w:r w:rsidR="004F45E5" w:rsidRPr="00423598">
        <w:t xml:space="preserve"> police</w:t>
      </w:r>
      <w:r w:rsidRPr="00423598">
        <w:t xml:space="preserve"> </w:t>
      </w:r>
      <w:r w:rsidR="003E3F85" w:rsidRPr="00423598">
        <w:t>investigations</w:t>
      </w:r>
      <w:r w:rsidR="004F45E5" w:rsidRPr="00423598">
        <w:t xml:space="preserve"> inevitably </w:t>
      </w:r>
      <w:r w:rsidR="003E3F85" w:rsidRPr="00423598">
        <w:t>stall because of a lack of evidence.</w:t>
      </w:r>
      <w:r w:rsidR="00622236" w:rsidRPr="00423598">
        <w:t>”</w:t>
      </w:r>
      <w:bookmarkEnd w:id="50"/>
      <w:r w:rsidRPr="00423598">
        <w:t xml:space="preserve"> </w:t>
      </w:r>
      <w:bookmarkEnd w:id="47"/>
      <w:bookmarkEnd w:id="48"/>
      <w:bookmarkEnd w:id="49"/>
      <w:bookmarkEnd w:id="51"/>
    </w:p>
    <w:p w:rsidR="00622236" w:rsidRPr="00423598" w:rsidRDefault="00622236" w:rsidP="00622236">
      <w:pPr>
        <w:tabs>
          <w:tab w:val="left" w:pos="709"/>
        </w:tabs>
        <w:suppressAutoHyphens/>
        <w:autoSpaceDE w:val="0"/>
        <w:jc w:val="both"/>
        <w:rPr>
          <w:bCs/>
          <w:lang w:val="en-GB"/>
        </w:rPr>
      </w:pPr>
    </w:p>
    <w:p w:rsidR="003E3F85" w:rsidRPr="00423598" w:rsidRDefault="003E3F85" w:rsidP="003E3F85">
      <w:pPr>
        <w:numPr>
          <w:ilvl w:val="0"/>
          <w:numId w:val="2"/>
        </w:numPr>
        <w:tabs>
          <w:tab w:val="left" w:pos="709"/>
        </w:tabs>
        <w:suppressAutoHyphens/>
        <w:autoSpaceDE w:val="0"/>
        <w:jc w:val="both"/>
        <w:rPr>
          <w:lang w:eastAsia="nl-NL"/>
        </w:rPr>
      </w:pPr>
      <w:bookmarkStart w:id="52" w:name="_Ref367285537"/>
      <w:bookmarkStart w:id="53" w:name="_Ref368319301"/>
      <w:bookmarkEnd w:id="39"/>
      <w:r w:rsidRPr="00423598">
        <w:rPr>
          <w:lang w:eastAsia="nl-NL"/>
        </w:rPr>
        <w:t>The SRSG concludes that with regard to the complaint, “it</w:t>
      </w:r>
      <w:r w:rsidR="004F45E5" w:rsidRPr="00423598">
        <w:rPr>
          <w:lang w:eastAsia="nl-NL"/>
        </w:rPr>
        <w:t xml:space="preserve"> is submitted</w:t>
      </w:r>
      <w:r w:rsidR="00622236" w:rsidRPr="00423598">
        <w:rPr>
          <w:lang w:eastAsia="nl-NL"/>
        </w:rPr>
        <w:t xml:space="preserve"> that UNMIK</w:t>
      </w:r>
      <w:r w:rsidR="004F45E5" w:rsidRPr="00423598">
        <w:rPr>
          <w:lang w:eastAsia="nl-NL"/>
        </w:rPr>
        <w:t>, in light of the evidence available to it, took all reasonable steps to investigate the disappearance and possible killing of Mr. Rade Budimir, in accordance with the procedural requirements of Article 2, ECHR.”</w:t>
      </w:r>
      <w:r w:rsidR="00622236" w:rsidRPr="00423598">
        <w:rPr>
          <w:lang w:eastAsia="nl-NL"/>
        </w:rPr>
        <w:t xml:space="preserve"> </w:t>
      </w:r>
      <w:r w:rsidR="00622236" w:rsidRPr="00423598">
        <w:t>He asserts that “</w:t>
      </w:r>
      <w:r w:rsidR="004F45E5" w:rsidRPr="00423598">
        <w:t xml:space="preserve">it appears that </w:t>
      </w:r>
      <w:r w:rsidR="004F45E5" w:rsidRPr="00423598">
        <w:rPr>
          <w:lang w:eastAsia="nl-NL"/>
        </w:rPr>
        <w:t>there has not been a</w:t>
      </w:r>
      <w:r w:rsidR="002948A6" w:rsidRPr="00423598">
        <w:rPr>
          <w:lang w:eastAsia="nl-NL"/>
        </w:rPr>
        <w:t xml:space="preserve"> violation of</w:t>
      </w:r>
      <w:r w:rsidR="004F45E5" w:rsidRPr="00423598">
        <w:rPr>
          <w:lang w:eastAsia="nl-NL"/>
        </w:rPr>
        <w:t xml:space="preserve"> the procedural requirements of</w:t>
      </w:r>
      <w:r w:rsidR="00D705B2" w:rsidRPr="00423598">
        <w:rPr>
          <w:lang w:eastAsia="nl-NL"/>
        </w:rPr>
        <w:t xml:space="preserve"> Article 2</w:t>
      </w:r>
      <w:r w:rsidR="004F45E5" w:rsidRPr="00423598">
        <w:rPr>
          <w:lang w:eastAsia="nl-NL"/>
        </w:rPr>
        <w:t>,</w:t>
      </w:r>
      <w:r w:rsidR="002948A6" w:rsidRPr="00423598">
        <w:rPr>
          <w:lang w:eastAsia="nl-NL"/>
        </w:rPr>
        <w:t xml:space="preserve"> ECHR</w:t>
      </w:r>
      <w:r w:rsidR="004F45E5" w:rsidRPr="00423598">
        <w:rPr>
          <w:lang w:eastAsia="nl-NL"/>
        </w:rPr>
        <w:t>,</w:t>
      </w:r>
      <w:r w:rsidR="00D705B2" w:rsidRPr="00423598">
        <w:rPr>
          <w:lang w:eastAsia="nl-NL"/>
        </w:rPr>
        <w:t xml:space="preserve"> in</w:t>
      </w:r>
      <w:r w:rsidR="002948A6" w:rsidRPr="00423598">
        <w:rPr>
          <w:lang w:eastAsia="nl-NL"/>
        </w:rPr>
        <w:t xml:space="preserve"> respect of the allegations contained in the </w:t>
      </w:r>
      <w:r w:rsidR="002948A6" w:rsidRPr="00423598">
        <w:rPr>
          <w:lang w:eastAsia="nl-NL"/>
        </w:rPr>
        <w:lastRenderedPageBreak/>
        <w:t>Complaint</w:t>
      </w:r>
      <w:r w:rsidR="004F45E5" w:rsidRPr="00423598">
        <w:rPr>
          <w:lang w:eastAsia="nl-NL"/>
        </w:rPr>
        <w:t xml:space="preserve"> of Ms. Olivera Budimir</w:t>
      </w:r>
      <w:r w:rsidR="00622236" w:rsidRPr="00423598">
        <w:rPr>
          <w:lang w:eastAsia="nl-NL"/>
        </w:rPr>
        <w:t>.</w:t>
      </w:r>
      <w:r w:rsidR="002948A6" w:rsidRPr="00423598">
        <w:rPr>
          <w:lang w:eastAsia="nl-NL"/>
        </w:rPr>
        <w:t xml:space="preserve"> </w:t>
      </w:r>
      <w:r w:rsidR="002948A6" w:rsidRPr="00423598">
        <w:rPr>
          <w:lang w:val="en-GB"/>
        </w:rPr>
        <w:t>Therefore, the Complaint should be rejected in its entirety.</w:t>
      </w:r>
      <w:bookmarkStart w:id="54" w:name="_Ref367285538"/>
      <w:bookmarkEnd w:id="52"/>
      <w:bookmarkEnd w:id="53"/>
      <w:r w:rsidR="002948A6" w:rsidRPr="00423598">
        <w:rPr>
          <w:lang w:eastAsia="nl-NL"/>
        </w:rPr>
        <w:t>”</w:t>
      </w:r>
    </w:p>
    <w:p w:rsidR="00D705B2" w:rsidRPr="00423598" w:rsidRDefault="00D705B2" w:rsidP="00D705B2">
      <w:pPr>
        <w:tabs>
          <w:tab w:val="left" w:pos="709"/>
        </w:tabs>
        <w:suppressAutoHyphens/>
        <w:autoSpaceDE w:val="0"/>
        <w:ind w:left="360"/>
        <w:jc w:val="both"/>
        <w:rPr>
          <w:lang w:eastAsia="nl-NL"/>
        </w:rPr>
      </w:pPr>
    </w:p>
    <w:p w:rsidR="003E3F85" w:rsidRPr="00423598" w:rsidRDefault="003E3F85" w:rsidP="003E3F85">
      <w:pPr>
        <w:numPr>
          <w:ilvl w:val="0"/>
          <w:numId w:val="2"/>
        </w:numPr>
        <w:tabs>
          <w:tab w:val="left" w:pos="709"/>
        </w:tabs>
        <w:suppressAutoHyphens/>
        <w:autoSpaceDE w:val="0"/>
        <w:jc w:val="both"/>
        <w:rPr>
          <w:lang w:eastAsia="nl-NL"/>
        </w:rPr>
      </w:pPr>
      <w:r w:rsidRPr="00423598">
        <w:rPr>
          <w:lang w:eastAsia="nl-NL"/>
        </w:rPr>
        <w:t>The SRSG al</w:t>
      </w:r>
      <w:r w:rsidR="00A437DF" w:rsidRPr="00423598">
        <w:rPr>
          <w:lang w:eastAsia="nl-NL"/>
        </w:rPr>
        <w:t>so informed the Panel that in view of the</w:t>
      </w:r>
      <w:r w:rsidRPr="00423598">
        <w:rPr>
          <w:lang w:eastAsia="nl-NL"/>
        </w:rPr>
        <w:t xml:space="preserve"> possibility that more information in relation to this case exists, he might make further comments on this matter. However, no further communication in this regard, other than confirmation of the full disclosure of the investigative files, has been received to date.</w:t>
      </w:r>
      <w:bookmarkEnd w:id="54"/>
      <w:r w:rsidRPr="00423598">
        <w:rPr>
          <w:lang w:eastAsia="nl-NL"/>
        </w:rPr>
        <w:t xml:space="preserve"> </w:t>
      </w:r>
    </w:p>
    <w:p w:rsidR="003E3F85" w:rsidRPr="00423598" w:rsidRDefault="003E3F85" w:rsidP="003E3F85">
      <w:pPr>
        <w:suppressAutoHyphens/>
        <w:autoSpaceDE w:val="0"/>
        <w:jc w:val="both"/>
        <w:rPr>
          <w:lang w:val="en-GB"/>
        </w:rPr>
      </w:pPr>
    </w:p>
    <w:p w:rsidR="003E3F85" w:rsidRPr="00423598" w:rsidRDefault="003E3F85" w:rsidP="003E3F85">
      <w:pPr>
        <w:pStyle w:val="ListParagraph"/>
        <w:numPr>
          <w:ilvl w:val="1"/>
          <w:numId w:val="1"/>
        </w:numPr>
        <w:tabs>
          <w:tab w:val="clear" w:pos="360"/>
          <w:tab w:val="left" w:pos="357"/>
        </w:tabs>
        <w:autoSpaceDE w:val="0"/>
        <w:contextualSpacing/>
        <w:jc w:val="both"/>
        <w:rPr>
          <w:b/>
          <w:lang w:val="en-GB"/>
        </w:rPr>
      </w:pPr>
      <w:r w:rsidRPr="00423598">
        <w:rPr>
          <w:b/>
          <w:lang w:val="en-GB"/>
        </w:rPr>
        <w:t xml:space="preserve">The </w:t>
      </w:r>
      <w:r w:rsidRPr="00423598">
        <w:rPr>
          <w:b/>
          <w:bCs/>
          <w:lang w:val="en-GB"/>
        </w:rPr>
        <w:t>Panel’s</w:t>
      </w:r>
      <w:r w:rsidRPr="00423598">
        <w:rPr>
          <w:b/>
          <w:lang w:val="en-GB"/>
        </w:rPr>
        <w:t xml:space="preserve"> assessment</w:t>
      </w:r>
    </w:p>
    <w:p w:rsidR="003E3F85" w:rsidRPr="00423598" w:rsidRDefault="003E3F85" w:rsidP="003E3F85">
      <w:pPr>
        <w:jc w:val="both"/>
        <w:rPr>
          <w:lang w:val="en-GB"/>
        </w:rPr>
      </w:pPr>
    </w:p>
    <w:p w:rsidR="003E3F85" w:rsidRPr="00423598" w:rsidRDefault="003E3F85" w:rsidP="003E3F85">
      <w:pPr>
        <w:numPr>
          <w:ilvl w:val="0"/>
          <w:numId w:val="2"/>
        </w:numPr>
        <w:tabs>
          <w:tab w:val="left" w:pos="709"/>
        </w:tabs>
        <w:suppressAutoHyphens/>
        <w:autoSpaceDE w:val="0"/>
        <w:jc w:val="both"/>
        <w:rPr>
          <w:lang w:val="en-GB"/>
        </w:rPr>
      </w:pPr>
      <w:r w:rsidRPr="00423598">
        <w:rPr>
          <w:lang w:val="en-GB"/>
        </w:rPr>
        <w:t>The</w:t>
      </w:r>
      <w:r w:rsidRPr="00423598">
        <w:rPr>
          <w:bCs/>
          <w:lang w:val="en-GB"/>
        </w:rPr>
        <w:t xml:space="preserve"> Panel considers that the complainant invokes a violation of the procedural obligation </w:t>
      </w:r>
      <w:r w:rsidRPr="00423598">
        <w:rPr>
          <w:lang w:val="en-GB"/>
        </w:rPr>
        <w:t>stemming</w:t>
      </w:r>
      <w:r w:rsidRPr="00423598">
        <w:rPr>
          <w:bCs/>
          <w:lang w:val="en-GB"/>
        </w:rPr>
        <w:t xml:space="preserve"> from the right to life, guaranteed by Article 2 of the European Convention on Human Rights (ECHR) in that UNMIK did not conduct an effectiv</w:t>
      </w:r>
      <w:r w:rsidR="00622236" w:rsidRPr="00423598">
        <w:rPr>
          <w:bCs/>
          <w:lang w:val="en-GB"/>
        </w:rPr>
        <w:t xml:space="preserve">e investigation into the </w:t>
      </w:r>
      <w:r w:rsidR="00954A3E" w:rsidRPr="00423598">
        <w:rPr>
          <w:bCs/>
          <w:lang w:val="en-GB"/>
        </w:rPr>
        <w:t>abduction</w:t>
      </w:r>
      <w:r w:rsidR="00622236" w:rsidRPr="00423598">
        <w:rPr>
          <w:bCs/>
          <w:lang w:val="en-GB"/>
        </w:rPr>
        <w:t xml:space="preserve"> and death</w:t>
      </w:r>
      <w:r w:rsidRPr="00423598">
        <w:rPr>
          <w:bCs/>
          <w:lang w:val="en-GB"/>
        </w:rPr>
        <w:t xml:space="preserve"> of </w:t>
      </w:r>
      <w:r w:rsidR="002E1F96" w:rsidRPr="00423598">
        <w:rPr>
          <w:lang w:val="en-GB"/>
        </w:rPr>
        <w:t>Mr Rade Budimir</w:t>
      </w:r>
      <w:r w:rsidRPr="00423598">
        <w:rPr>
          <w:lang w:val="en-GB"/>
        </w:rPr>
        <w:t>.</w:t>
      </w:r>
    </w:p>
    <w:p w:rsidR="003E3F85" w:rsidRPr="00423598" w:rsidRDefault="003E3F85" w:rsidP="003E3F85">
      <w:pPr>
        <w:pStyle w:val="ListParagraph"/>
        <w:autoSpaceDE w:val="0"/>
        <w:ind w:left="360"/>
        <w:jc w:val="both"/>
        <w:rPr>
          <w:lang w:val="en-GB"/>
        </w:rPr>
      </w:pPr>
    </w:p>
    <w:p w:rsidR="003E3F85" w:rsidRPr="00423598" w:rsidRDefault="003E3F85" w:rsidP="003E3F85">
      <w:pPr>
        <w:pStyle w:val="ListParagraph"/>
        <w:numPr>
          <w:ilvl w:val="0"/>
          <w:numId w:val="7"/>
        </w:numPr>
        <w:contextualSpacing/>
        <w:jc w:val="both"/>
        <w:rPr>
          <w:i/>
          <w:lang w:val="en-GB"/>
        </w:rPr>
      </w:pPr>
      <w:r w:rsidRPr="00423598">
        <w:rPr>
          <w:i/>
          <w:lang w:val="en-GB"/>
        </w:rPr>
        <w:t>Submission of relevant files</w:t>
      </w:r>
    </w:p>
    <w:p w:rsidR="003E3F85" w:rsidRPr="00423598" w:rsidRDefault="003E3F85" w:rsidP="003E3F85">
      <w:pPr>
        <w:pStyle w:val="ListParagraph"/>
        <w:autoSpaceDE w:val="0"/>
        <w:ind w:left="450"/>
        <w:jc w:val="both"/>
      </w:pPr>
      <w:bookmarkStart w:id="55" w:name="_Ref354590617"/>
    </w:p>
    <w:p w:rsidR="003E3F85" w:rsidRPr="00423598" w:rsidRDefault="003E3F85" w:rsidP="003E3F85">
      <w:pPr>
        <w:numPr>
          <w:ilvl w:val="0"/>
          <w:numId w:val="2"/>
        </w:numPr>
        <w:tabs>
          <w:tab w:val="left" w:pos="709"/>
        </w:tabs>
        <w:suppressAutoHyphens/>
        <w:autoSpaceDE w:val="0"/>
        <w:jc w:val="both"/>
      </w:pPr>
      <w:r w:rsidRPr="00423598">
        <w:rPr>
          <w:lang w:val="en-GB"/>
        </w:rPr>
        <w:t xml:space="preserve">At the Panel’s request, on </w:t>
      </w:r>
      <w:r w:rsidR="00622236" w:rsidRPr="00423598">
        <w:rPr>
          <w:lang w:val="en-GB"/>
        </w:rPr>
        <w:t>29</w:t>
      </w:r>
      <w:r w:rsidRPr="00423598">
        <w:rPr>
          <w:lang w:val="en-GB"/>
        </w:rPr>
        <w:t xml:space="preserve"> </w:t>
      </w:r>
      <w:r w:rsidR="00622236" w:rsidRPr="00423598">
        <w:rPr>
          <w:lang w:val="en-GB"/>
        </w:rPr>
        <w:t>December</w:t>
      </w:r>
      <w:r w:rsidR="002948A6" w:rsidRPr="00423598">
        <w:rPr>
          <w:lang w:val="en-GB"/>
        </w:rPr>
        <w:t xml:space="preserve"> </w:t>
      </w:r>
      <w:r w:rsidR="00622236" w:rsidRPr="00423598">
        <w:rPr>
          <w:lang w:val="en-GB"/>
        </w:rPr>
        <w:t>2011</w:t>
      </w:r>
      <w:r w:rsidRPr="00423598">
        <w:rPr>
          <w:lang w:val="en-GB"/>
        </w:rPr>
        <w:t xml:space="preserve">, the </w:t>
      </w:r>
      <w:r w:rsidRPr="00423598">
        <w:rPr>
          <w:bCs/>
          <w:lang w:val="en-GB"/>
        </w:rPr>
        <w:t>SRSG</w:t>
      </w:r>
      <w:r w:rsidRPr="00423598">
        <w:rPr>
          <w:lang w:val="en-GB"/>
        </w:rPr>
        <w:t xml:space="preserve"> provided copies of the documents related to this investigation, which UNMIK was able to recover. </w:t>
      </w:r>
      <w:r w:rsidRPr="00423598">
        <w:t xml:space="preserve">The </w:t>
      </w:r>
      <w:r w:rsidRPr="00423598">
        <w:rPr>
          <w:lang w:val="en-GB"/>
        </w:rPr>
        <w:t>SRSG</w:t>
      </w:r>
      <w:r w:rsidRPr="00423598">
        <w:t xml:space="preserve"> also noted that there is a possibility more information, not contained in the presented documents, exists, but provided no further details.</w:t>
      </w:r>
      <w:r w:rsidRPr="00423598">
        <w:rPr>
          <w:lang w:val="en-GB"/>
        </w:rPr>
        <w:t xml:space="preserve"> O</w:t>
      </w:r>
      <w:r w:rsidRPr="00423598">
        <w:t xml:space="preserve">n </w:t>
      </w:r>
      <w:r w:rsidR="002E1F96" w:rsidRPr="00423598">
        <w:t>6 October</w:t>
      </w:r>
      <w:r w:rsidRPr="00423598">
        <w:t xml:space="preserve"> 2014. UNMIK confirmed to the Panel that no more files have been located, thus the disclosure may be considered complete (see § </w:t>
      </w:r>
      <w:r w:rsidRPr="00423598">
        <w:fldChar w:fldCharType="begin"/>
      </w:r>
      <w:r w:rsidRPr="00423598">
        <w:instrText xml:space="preserve"> REF _Ref373944367 \r \h </w:instrText>
      </w:r>
      <w:r w:rsidR="00C75650" w:rsidRPr="00423598">
        <w:instrText xml:space="preserve"> \* MERGEFORMAT </w:instrText>
      </w:r>
      <w:r w:rsidRPr="00423598">
        <w:fldChar w:fldCharType="separate"/>
      </w:r>
      <w:r w:rsidR="00423598">
        <w:t>6</w:t>
      </w:r>
      <w:r w:rsidRPr="00423598">
        <w:fldChar w:fldCharType="end"/>
      </w:r>
      <w:r w:rsidRPr="00423598">
        <w:t xml:space="preserve"> above).</w:t>
      </w:r>
      <w:bookmarkEnd w:id="55"/>
    </w:p>
    <w:p w:rsidR="003E3F85" w:rsidRPr="00423598" w:rsidRDefault="003E3F85" w:rsidP="003E3F85">
      <w:pPr>
        <w:suppressAutoHyphens/>
        <w:ind w:left="360"/>
        <w:jc w:val="both"/>
        <w:rPr>
          <w:lang w:val="en-GB"/>
        </w:rPr>
      </w:pPr>
    </w:p>
    <w:p w:rsidR="003E3F85" w:rsidRPr="00423598" w:rsidRDefault="003E3F85" w:rsidP="003E3F85">
      <w:pPr>
        <w:numPr>
          <w:ilvl w:val="0"/>
          <w:numId w:val="2"/>
        </w:numPr>
        <w:tabs>
          <w:tab w:val="left" w:pos="709"/>
        </w:tabs>
        <w:suppressAutoHyphens/>
        <w:autoSpaceDE w:val="0"/>
        <w:jc w:val="both"/>
        <w:rPr>
          <w:lang w:val="en-GB"/>
        </w:rPr>
      </w:pPr>
      <w:r w:rsidRPr="00423598">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423598">
        <w:rPr>
          <w:lang w:val="en-GB"/>
        </w:rPr>
        <w:t>provide</w:t>
      </w:r>
      <w:proofErr w:type="gramEnd"/>
      <w:r w:rsidRPr="00423598">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423598">
        <w:rPr>
          <w:i/>
          <w:lang w:val="en-GB"/>
        </w:rPr>
        <w:t>Çelikbilek v. Turkey</w:t>
      </w:r>
      <w:r w:rsidRPr="00423598">
        <w:rPr>
          <w:lang w:val="en-GB"/>
        </w:rPr>
        <w:t xml:space="preserve">, </w:t>
      </w:r>
      <w:r w:rsidRPr="00423598">
        <w:rPr>
          <w:lang w:val="en-GB" w:eastAsia="nl-BE"/>
        </w:rPr>
        <w:t>no. 27693/95, judgment of 31 May 2005</w:t>
      </w:r>
      <w:r w:rsidRPr="00423598">
        <w:rPr>
          <w:i/>
          <w:iCs/>
          <w:lang w:val="en-GB" w:eastAsia="nl-BE"/>
        </w:rPr>
        <w:t>,</w:t>
      </w:r>
      <w:r w:rsidRPr="00423598">
        <w:rPr>
          <w:iCs/>
          <w:lang w:val="en-GB" w:eastAsia="nl-BE"/>
        </w:rPr>
        <w:t xml:space="preserve"> § 56).</w:t>
      </w:r>
      <w:r w:rsidRPr="00423598">
        <w:rPr>
          <w:rFonts w:ascii="Helv" w:hAnsi="Helv" w:cs="Helv"/>
          <w:sz w:val="20"/>
          <w:szCs w:val="20"/>
          <w:lang w:val="en-GB" w:eastAsia="nl-BE"/>
        </w:rPr>
        <w:t xml:space="preserve"> </w:t>
      </w:r>
    </w:p>
    <w:p w:rsidR="003E3F85" w:rsidRPr="00423598" w:rsidRDefault="003E3F85" w:rsidP="003E3F85">
      <w:pPr>
        <w:pStyle w:val="ListParagraph"/>
        <w:rPr>
          <w:lang w:val="en-GB"/>
        </w:rPr>
      </w:pPr>
    </w:p>
    <w:p w:rsidR="003E3F85" w:rsidRPr="00423598" w:rsidRDefault="003E3F85" w:rsidP="003E3F85">
      <w:pPr>
        <w:numPr>
          <w:ilvl w:val="0"/>
          <w:numId w:val="2"/>
        </w:numPr>
        <w:tabs>
          <w:tab w:val="left" w:pos="709"/>
        </w:tabs>
        <w:suppressAutoHyphens/>
        <w:autoSpaceDE w:val="0"/>
        <w:jc w:val="both"/>
        <w:rPr>
          <w:b/>
          <w:lang w:val="en-GB"/>
        </w:rPr>
      </w:pPr>
      <w:r w:rsidRPr="00423598">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423598">
        <w:rPr>
          <w:i/>
          <w:lang w:val="en-GB"/>
        </w:rPr>
        <w:t>per se</w:t>
      </w:r>
      <w:r w:rsidRPr="00423598">
        <w:rPr>
          <w:lang w:val="en-GB"/>
        </w:rPr>
        <w:t xml:space="preserve"> issues under Article 2.</w:t>
      </w:r>
    </w:p>
    <w:p w:rsidR="003E3F85" w:rsidRPr="00423598" w:rsidRDefault="003E3F85" w:rsidP="003E3F85">
      <w:pPr>
        <w:pStyle w:val="ListParagraph"/>
        <w:rPr>
          <w:b/>
          <w:lang w:val="en-GB"/>
        </w:rPr>
      </w:pPr>
    </w:p>
    <w:p w:rsidR="003E3F85" w:rsidRPr="00423598" w:rsidRDefault="003E3F85" w:rsidP="003E3F85">
      <w:pPr>
        <w:numPr>
          <w:ilvl w:val="0"/>
          <w:numId w:val="2"/>
        </w:numPr>
        <w:tabs>
          <w:tab w:val="left" w:pos="709"/>
        </w:tabs>
        <w:suppressAutoHyphens/>
        <w:autoSpaceDE w:val="0"/>
        <w:jc w:val="both"/>
        <w:rPr>
          <w:b/>
          <w:lang w:val="en-GB"/>
        </w:rPr>
      </w:pPr>
      <w:bookmarkStart w:id="56" w:name="_Ref373945461"/>
      <w:r w:rsidRPr="00423598">
        <w:t xml:space="preserve">The </w:t>
      </w:r>
      <w:r w:rsidRPr="00423598">
        <w:rPr>
          <w:lang w:val="en-GB"/>
        </w:rPr>
        <w:t>Panel has no reason to doubt that UNMIK undertook all efforts in order to obtain the relevant</w:t>
      </w:r>
      <w:r w:rsidRPr="00423598">
        <w:t xml:space="preserve"> investigative files. However, the Panel notes that UNMIK has not provided any explanation as to why the documentation may be incomplete, nor with respect to which parts.</w:t>
      </w:r>
      <w:bookmarkEnd w:id="56"/>
    </w:p>
    <w:p w:rsidR="003E3F85" w:rsidRPr="00423598" w:rsidRDefault="003E3F85" w:rsidP="003E3F85">
      <w:pPr>
        <w:pStyle w:val="ListParagraph"/>
        <w:rPr>
          <w:lang w:val="en-GB"/>
        </w:rPr>
      </w:pPr>
    </w:p>
    <w:p w:rsidR="003E3F85" w:rsidRPr="00423598" w:rsidRDefault="003E3F85" w:rsidP="003E3F85">
      <w:pPr>
        <w:numPr>
          <w:ilvl w:val="0"/>
          <w:numId w:val="2"/>
        </w:numPr>
        <w:tabs>
          <w:tab w:val="left" w:pos="709"/>
        </w:tabs>
        <w:suppressAutoHyphens/>
        <w:autoSpaceDE w:val="0"/>
        <w:jc w:val="both"/>
        <w:rPr>
          <w:lang w:val="en-GB"/>
        </w:rPr>
      </w:pPr>
      <w:r w:rsidRPr="00423598">
        <w:rPr>
          <w:lang w:val="en-GB"/>
        </w:rPr>
        <w:t>The Panel itself is not in the position to verify the completeness of the investigative files received.</w:t>
      </w:r>
      <w:r w:rsidR="002E1F96" w:rsidRPr="00423598">
        <w:rPr>
          <w:lang w:val="en-GB"/>
        </w:rPr>
        <w:t xml:space="preserve"> </w:t>
      </w:r>
      <w:r w:rsidRPr="00423598">
        <w:rPr>
          <w:lang w:val="en-GB"/>
        </w:rPr>
        <w:t xml:space="preserve">The Panel will therefore assess the merits of the complaint on the basis of documents made available (in this sense, see ECtHR, </w:t>
      </w:r>
      <w:r w:rsidRPr="00423598">
        <w:rPr>
          <w:i/>
          <w:lang w:val="en-GB"/>
        </w:rPr>
        <w:t>Tsechoyev v. Russia</w:t>
      </w:r>
      <w:r w:rsidRPr="00423598">
        <w:rPr>
          <w:lang w:val="en-GB"/>
        </w:rPr>
        <w:t>, no. 39358/05, judgment of</w:t>
      </w:r>
      <w:r w:rsidRPr="00423598">
        <w:rPr>
          <w:i/>
          <w:lang w:val="en-GB"/>
        </w:rPr>
        <w:t xml:space="preserve"> </w:t>
      </w:r>
      <w:r w:rsidRPr="00423598">
        <w:rPr>
          <w:lang w:val="en-GB"/>
        </w:rPr>
        <w:t xml:space="preserve">15 March 2011, § 146).  </w:t>
      </w:r>
      <w:bookmarkStart w:id="57" w:name="_Ref366241114"/>
    </w:p>
    <w:p w:rsidR="003E3F85" w:rsidRPr="00423598" w:rsidRDefault="003E3F85" w:rsidP="003E3F85">
      <w:pPr>
        <w:pStyle w:val="ListParagraph"/>
        <w:rPr>
          <w:lang w:val="en-GB"/>
        </w:rPr>
      </w:pPr>
    </w:p>
    <w:p w:rsidR="003E3F85" w:rsidRPr="00423598" w:rsidRDefault="003E3F85" w:rsidP="003E3F85">
      <w:pPr>
        <w:pStyle w:val="ListParagraph"/>
        <w:numPr>
          <w:ilvl w:val="0"/>
          <w:numId w:val="7"/>
        </w:numPr>
        <w:contextualSpacing/>
        <w:jc w:val="both"/>
        <w:rPr>
          <w:i/>
          <w:lang w:val="en-GB"/>
        </w:rPr>
      </w:pPr>
      <w:r w:rsidRPr="00423598">
        <w:rPr>
          <w:i/>
          <w:lang w:val="en-GB" w:eastAsia="en-US"/>
        </w:rPr>
        <w:lastRenderedPageBreak/>
        <w:t>General</w:t>
      </w:r>
      <w:r w:rsidRPr="00423598">
        <w:rPr>
          <w:i/>
          <w:lang w:val="en-GB"/>
        </w:rPr>
        <w:t xml:space="preserve"> principles concerning the obligation to conduct an effective investigation under Article 2</w:t>
      </w:r>
    </w:p>
    <w:p w:rsidR="003E3F85" w:rsidRPr="00423598" w:rsidRDefault="003E3F85" w:rsidP="003E3F85">
      <w:pPr>
        <w:rPr>
          <w:lang w:val="en-GB"/>
        </w:rPr>
      </w:pPr>
    </w:p>
    <w:p w:rsidR="004F45E5" w:rsidRPr="00423598" w:rsidRDefault="004F45E5" w:rsidP="004F45E5">
      <w:pPr>
        <w:pStyle w:val="ListParagraph"/>
        <w:numPr>
          <w:ilvl w:val="0"/>
          <w:numId w:val="2"/>
        </w:numPr>
        <w:jc w:val="both"/>
        <w:rPr>
          <w:lang w:val="en-GB"/>
        </w:rPr>
      </w:pPr>
      <w:bookmarkStart w:id="58" w:name="_Ref400788371"/>
      <w:r w:rsidRPr="00423598">
        <w:rPr>
          <w:lang w:val="en-GB"/>
        </w:rPr>
        <w:t>First, the Panel considers that the limited cont</w:t>
      </w:r>
      <w:r w:rsidR="00954A3E" w:rsidRPr="00423598">
        <w:rPr>
          <w:lang w:val="en-GB"/>
        </w:rPr>
        <w:t xml:space="preserve">ent of the investigative files </w:t>
      </w:r>
      <w:r w:rsidRPr="00423598">
        <w:rPr>
          <w:lang w:val="en-GB"/>
        </w:rPr>
        <w:t>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End w:id="58"/>
    </w:p>
    <w:p w:rsidR="004F45E5" w:rsidRPr="00423598" w:rsidRDefault="004F45E5" w:rsidP="004F45E5">
      <w:pPr>
        <w:pStyle w:val="ListParagraph"/>
        <w:ind w:left="360"/>
        <w:jc w:val="both"/>
        <w:rPr>
          <w:lang w:val="en-GB"/>
        </w:rPr>
      </w:pPr>
    </w:p>
    <w:p w:rsidR="004F45E5" w:rsidRPr="00423598" w:rsidRDefault="004F45E5" w:rsidP="004F45E5">
      <w:pPr>
        <w:pStyle w:val="ListParagraph"/>
        <w:numPr>
          <w:ilvl w:val="0"/>
          <w:numId w:val="2"/>
        </w:numPr>
        <w:jc w:val="both"/>
        <w:rPr>
          <w:lang w:val="en-GB"/>
        </w:rPr>
      </w:pPr>
      <w:r w:rsidRPr="00423598">
        <w:rPr>
          <w:lang w:val="en-GB"/>
        </w:rPr>
        <w:t xml:space="preserve">Following this general rule, at the admissibility stage an applicant must present facts, which are supportive of the allegations of the State’s responsibility, that is, to establish a </w:t>
      </w:r>
      <w:r w:rsidRPr="00423598">
        <w:rPr>
          <w:i/>
          <w:lang w:val="en-GB"/>
        </w:rPr>
        <w:t xml:space="preserve">prima facie </w:t>
      </w:r>
      <w:r w:rsidRPr="00423598">
        <w:rPr>
          <w:lang w:val="en-GB"/>
        </w:rPr>
        <w:t xml:space="preserve">case against the authorities (see, mutatis mutandis, </w:t>
      </w:r>
      <w:r w:rsidRPr="00423598">
        <w:rPr>
          <w:i/>
          <w:lang w:val="en-GB"/>
        </w:rPr>
        <w:t>ECtHR, Artico v. Italy</w:t>
      </w:r>
      <w:r w:rsidRPr="00423598">
        <w:rPr>
          <w:lang w:val="en-GB"/>
        </w:rPr>
        <w:t xml:space="preserve">, no. 6694/74, judgment of 13 May 1980, §§ 29-30, Series A no. 37; </w:t>
      </w:r>
      <w:r w:rsidRPr="00423598">
        <w:rPr>
          <w:i/>
          <w:lang w:val="en-GB"/>
        </w:rPr>
        <w:t>ECtHR, Toğcu v. Turkey</w:t>
      </w:r>
      <w:r w:rsidRPr="00423598">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423598">
        <w:rPr>
          <w:i/>
          <w:lang w:val="en-GB"/>
        </w:rPr>
        <w:t>Varnava and Others v Turkey</w:t>
      </w:r>
      <w:r w:rsidRPr="00423598">
        <w:rPr>
          <w:lang w:val="en-GB"/>
        </w:rPr>
        <w:t xml:space="preserve">, cited above in § </w:t>
      </w:r>
      <w:r w:rsidRPr="00423598">
        <w:rPr>
          <w:lang w:val="en-GB"/>
        </w:rPr>
        <w:fldChar w:fldCharType="begin"/>
      </w:r>
      <w:r w:rsidRPr="00423598">
        <w:rPr>
          <w:lang w:val="en-GB"/>
        </w:rPr>
        <w:instrText xml:space="preserve"> REF _Ref346123885 \r \h  \* MERGEFORMAT </w:instrText>
      </w:r>
      <w:r w:rsidRPr="00423598">
        <w:rPr>
          <w:lang w:val="en-GB"/>
        </w:rPr>
      </w:r>
      <w:r w:rsidRPr="00423598">
        <w:rPr>
          <w:lang w:val="en-GB"/>
        </w:rPr>
        <w:fldChar w:fldCharType="separate"/>
      </w:r>
      <w:r w:rsidR="00423598">
        <w:rPr>
          <w:lang w:val="en-GB"/>
        </w:rPr>
        <w:t>41</w:t>
      </w:r>
      <w:r w:rsidRPr="00423598">
        <w:rPr>
          <w:lang w:val="en-GB"/>
        </w:rPr>
        <w:fldChar w:fldCharType="end"/>
      </w:r>
      <w:r w:rsidRPr="00423598">
        <w:rPr>
          <w:lang w:val="en-GB"/>
        </w:rPr>
        <w:t>, at §§ 183-184).</w:t>
      </w:r>
    </w:p>
    <w:p w:rsidR="004F45E5" w:rsidRPr="00423598" w:rsidRDefault="004F45E5" w:rsidP="004F45E5">
      <w:pPr>
        <w:pStyle w:val="ListParagraph"/>
        <w:ind w:left="360"/>
        <w:jc w:val="both"/>
        <w:rPr>
          <w:lang w:val="en-GB"/>
        </w:rPr>
      </w:pPr>
    </w:p>
    <w:p w:rsidR="004F45E5" w:rsidRPr="00423598" w:rsidRDefault="004F45E5" w:rsidP="004F45E5">
      <w:pPr>
        <w:pStyle w:val="ListParagraph"/>
        <w:numPr>
          <w:ilvl w:val="0"/>
          <w:numId w:val="2"/>
        </w:numPr>
        <w:jc w:val="both"/>
        <w:rPr>
          <w:lang w:val="en-GB"/>
        </w:rPr>
      </w:pPr>
      <w:r w:rsidRPr="00423598">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423598">
        <w:rPr>
          <w:i/>
          <w:lang w:val="en-GB"/>
        </w:rPr>
        <w:t>Akkum and Others v. Turkey</w:t>
      </w:r>
      <w:r w:rsidRPr="00423598">
        <w:rPr>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423598">
        <w:rPr>
          <w:i/>
          <w:lang w:val="en-GB"/>
        </w:rPr>
        <w:t>Varnava and Others v Turkey</w:t>
      </w:r>
      <w:r w:rsidRPr="00423598">
        <w:rPr>
          <w:lang w:val="en-GB"/>
        </w:rPr>
        <w:t xml:space="preserve"> [GC], cited above in § </w:t>
      </w:r>
      <w:r w:rsidRPr="00423598">
        <w:rPr>
          <w:lang w:val="en-GB"/>
        </w:rPr>
        <w:fldChar w:fldCharType="begin"/>
      </w:r>
      <w:r w:rsidRPr="00423598">
        <w:rPr>
          <w:lang w:val="en-GB"/>
        </w:rPr>
        <w:instrText xml:space="preserve"> REF _Ref346123885 \r \h  \* MERGEFORMAT </w:instrText>
      </w:r>
      <w:r w:rsidRPr="00423598">
        <w:rPr>
          <w:lang w:val="en-GB"/>
        </w:rPr>
      </w:r>
      <w:r w:rsidRPr="00423598">
        <w:rPr>
          <w:lang w:val="en-GB"/>
        </w:rPr>
        <w:fldChar w:fldCharType="separate"/>
      </w:r>
      <w:r w:rsidR="00423598">
        <w:rPr>
          <w:lang w:val="en-GB"/>
        </w:rPr>
        <w:t>41</w:t>
      </w:r>
      <w:r w:rsidRPr="00423598">
        <w:rPr>
          <w:lang w:val="en-GB"/>
        </w:rPr>
        <w:fldChar w:fldCharType="end"/>
      </w:r>
      <w:r w:rsidRPr="00423598">
        <w:rPr>
          <w:lang w:val="en-GB"/>
        </w:rPr>
        <w:t xml:space="preserve">, at § 184; see also, HRC, Benaniza v Algeria, Views of 26 July 2010, § 9.4, CCPR/C/99/D/1588/2007; HRC, </w:t>
      </w:r>
      <w:r w:rsidRPr="00423598">
        <w:rPr>
          <w:i/>
          <w:lang w:val="en-GB"/>
        </w:rPr>
        <w:t>Bashasha v. Libyan Arab Jamahiriya</w:t>
      </w:r>
      <w:r w:rsidRPr="00423598">
        <w:rPr>
          <w:lang w:val="en-GB"/>
        </w:rPr>
        <w:t>, Views of 20 October 2010, § 7.2, CCPR/C/100/D/1776/2008).</w:t>
      </w:r>
    </w:p>
    <w:p w:rsidR="004F45E5" w:rsidRPr="00423598" w:rsidRDefault="004F45E5" w:rsidP="004F45E5">
      <w:pPr>
        <w:pStyle w:val="ListParagraph"/>
        <w:ind w:left="360"/>
        <w:jc w:val="both"/>
        <w:rPr>
          <w:lang w:val="en-GB"/>
        </w:rPr>
      </w:pPr>
    </w:p>
    <w:p w:rsidR="004F45E5" w:rsidRPr="00423598" w:rsidRDefault="004F45E5" w:rsidP="004F45E5">
      <w:pPr>
        <w:pStyle w:val="ListParagraph"/>
        <w:numPr>
          <w:ilvl w:val="0"/>
          <w:numId w:val="2"/>
        </w:numPr>
        <w:jc w:val="both"/>
        <w:rPr>
          <w:lang w:val="en-GB"/>
        </w:rPr>
      </w:pPr>
      <w:bookmarkStart w:id="59" w:name="_Ref400788384"/>
      <w:r w:rsidRPr="00423598">
        <w:rPr>
          <w:lang w:val="en-GB"/>
        </w:rPr>
        <w:t xml:space="preserve">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 (see HRAP, </w:t>
      </w:r>
      <w:r w:rsidRPr="00423598">
        <w:rPr>
          <w:i/>
          <w:lang w:val="en-GB"/>
        </w:rPr>
        <w:t>B.A.,</w:t>
      </w:r>
      <w:r w:rsidRPr="00423598">
        <w:rPr>
          <w:lang w:val="en-GB"/>
        </w:rPr>
        <w:t xml:space="preserve"> no. 52/09, opinion of 1 February 2013, § 53).</w:t>
      </w:r>
      <w:bookmarkEnd w:id="59"/>
    </w:p>
    <w:p w:rsidR="004F45E5" w:rsidRPr="00423598" w:rsidRDefault="004F45E5" w:rsidP="004F45E5">
      <w:pPr>
        <w:jc w:val="both"/>
        <w:rPr>
          <w:lang w:val="en-GB"/>
        </w:rPr>
      </w:pPr>
    </w:p>
    <w:p w:rsidR="003E3F85" w:rsidRPr="00423598" w:rsidRDefault="004F45E5" w:rsidP="003E3F85">
      <w:pPr>
        <w:numPr>
          <w:ilvl w:val="0"/>
          <w:numId w:val="2"/>
        </w:numPr>
        <w:tabs>
          <w:tab w:val="left" w:pos="709"/>
        </w:tabs>
        <w:suppressAutoHyphens/>
        <w:autoSpaceDE w:val="0"/>
        <w:jc w:val="both"/>
        <w:rPr>
          <w:lang w:val="en-GB"/>
        </w:rPr>
      </w:pPr>
      <w:r w:rsidRPr="00423598">
        <w:rPr>
          <w:lang w:val="en-GB"/>
        </w:rPr>
        <w:t>Second, t</w:t>
      </w:r>
      <w:r w:rsidR="003E3F85" w:rsidRPr="00423598">
        <w:rPr>
          <w:lang w:val="en-GB"/>
        </w:rPr>
        <w:t xml:space="preserve">he Panel notes that the positive obligation to investigate has been stated by the </w:t>
      </w:r>
      <w:r w:rsidR="00423598" w:rsidRPr="00423598">
        <w:rPr>
          <w:lang w:val="en-GB"/>
        </w:rPr>
        <w:t>HRC</w:t>
      </w:r>
      <w:r w:rsidR="003E3F85" w:rsidRPr="00423598">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423598">
        <w:rPr>
          <w:i/>
          <w:lang w:val="en-GB"/>
        </w:rPr>
        <w:t>Mohamed El Awani, v. Libyan Arab Jamahiriya</w:t>
      </w:r>
      <w:r w:rsidR="003E3F85" w:rsidRPr="00423598">
        <w:rPr>
          <w:lang w:val="en-GB"/>
        </w:rPr>
        <w:t xml:space="preserve">, communication no. 1295/2004, views </w:t>
      </w:r>
      <w:r w:rsidR="003E3F85" w:rsidRPr="00423598">
        <w:rPr>
          <w:lang w:val="en-GB"/>
        </w:rPr>
        <w:lastRenderedPageBreak/>
        <w:t>of 11 July 2007, CCPR/C/90/D/1295/2004). The obligation to investigate disappearances and killings is also asserted in the UN Declaration on the Protection of all Persons from Enforced Disappearances (</w:t>
      </w:r>
      <w:r w:rsidR="003E3F85" w:rsidRPr="00423598">
        <w:t xml:space="preserve">UN Document </w:t>
      </w:r>
      <w:r w:rsidR="003E3F85" w:rsidRPr="00423598">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7"/>
      <w:r w:rsidR="003E3F85" w:rsidRPr="00423598">
        <w:rPr>
          <w:lang w:val="en-GB"/>
        </w:rPr>
        <w:t xml:space="preserve">   </w:t>
      </w:r>
      <w:bookmarkStart w:id="60" w:name="_Ref347561805"/>
    </w:p>
    <w:p w:rsidR="003E3F85" w:rsidRPr="00423598" w:rsidRDefault="003E3F85" w:rsidP="003E3F85">
      <w:pPr>
        <w:pStyle w:val="ListParagraph"/>
        <w:suppressAutoHyphens w:val="0"/>
        <w:ind w:left="360"/>
        <w:contextualSpacing/>
        <w:jc w:val="both"/>
        <w:rPr>
          <w:lang w:val="en-GB" w:eastAsia="en-US"/>
        </w:rPr>
      </w:pPr>
    </w:p>
    <w:p w:rsidR="003E3F85" w:rsidRPr="00423598" w:rsidRDefault="003E3F85" w:rsidP="003E3F85">
      <w:pPr>
        <w:numPr>
          <w:ilvl w:val="0"/>
          <w:numId w:val="2"/>
        </w:numPr>
        <w:tabs>
          <w:tab w:val="left" w:pos="709"/>
        </w:tabs>
        <w:suppressAutoHyphens/>
        <w:autoSpaceDE w:val="0"/>
        <w:jc w:val="both"/>
        <w:rPr>
          <w:lang w:val="en-GB"/>
        </w:rPr>
      </w:pPr>
      <w:bookmarkStart w:id="61" w:name="_Ref366239860"/>
      <w:r w:rsidRPr="00423598">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423598">
        <w:rPr>
          <w:i/>
          <w:lang w:val="en-GB"/>
        </w:rPr>
        <w:t>mutatis mutandis</w:t>
      </w:r>
      <w:r w:rsidRPr="00423598">
        <w:rPr>
          <w:lang w:val="en-GB"/>
        </w:rPr>
        <w:t xml:space="preserve">, ECtHR, </w:t>
      </w:r>
      <w:r w:rsidRPr="00423598">
        <w:rPr>
          <w:i/>
          <w:lang w:val="en-GB"/>
        </w:rPr>
        <w:t>McCann and Others v. the United Kingdom</w:t>
      </w:r>
      <w:r w:rsidRPr="00423598">
        <w:rPr>
          <w:lang w:val="en-GB"/>
        </w:rPr>
        <w:t xml:space="preserve">, judgment of 27 September 1995, § 161, Series A no. 324; and ECtHR, </w:t>
      </w:r>
      <w:r w:rsidRPr="00423598">
        <w:rPr>
          <w:i/>
          <w:lang w:val="en-GB"/>
        </w:rPr>
        <w:t>Kaya v. Turkey</w:t>
      </w:r>
      <w:r w:rsidRPr="00423598">
        <w:rPr>
          <w:lang w:val="en-GB"/>
        </w:rPr>
        <w:t xml:space="preserve">, judgment of 19 February 1998, § 86, Reports 1998-I; see also ECtHR, </w:t>
      </w:r>
      <w:r w:rsidRPr="00423598">
        <w:rPr>
          <w:i/>
          <w:lang w:val="en-GB"/>
        </w:rPr>
        <w:t>Jasinskis v. Latvia</w:t>
      </w:r>
      <w:r w:rsidRPr="00423598">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423598">
        <w:rPr>
          <w:i/>
          <w:lang w:val="en-GB"/>
        </w:rPr>
        <w:t>Kolevi v. Bulgaria</w:t>
      </w:r>
      <w:r w:rsidRPr="00423598">
        <w:rPr>
          <w:lang w:val="en-GB"/>
        </w:rPr>
        <w:t>, no. 1108/02, judgment of 5 November 2009, § 191).</w:t>
      </w:r>
      <w:bookmarkEnd w:id="60"/>
      <w:bookmarkEnd w:id="61"/>
    </w:p>
    <w:p w:rsidR="003E3F85" w:rsidRPr="00423598" w:rsidRDefault="003E3F85" w:rsidP="003E3F85">
      <w:pPr>
        <w:pStyle w:val="ListParagraph"/>
        <w:tabs>
          <w:tab w:val="num" w:pos="567"/>
        </w:tabs>
        <w:suppressAutoHyphens w:val="0"/>
        <w:ind w:left="567" w:hanging="425"/>
        <w:contextualSpacing/>
        <w:jc w:val="both"/>
        <w:rPr>
          <w:lang w:val="en-GB"/>
        </w:rPr>
      </w:pPr>
    </w:p>
    <w:p w:rsidR="003E3F85" w:rsidRPr="00423598" w:rsidRDefault="003E3F85" w:rsidP="003E3F85">
      <w:pPr>
        <w:numPr>
          <w:ilvl w:val="0"/>
          <w:numId w:val="2"/>
        </w:numPr>
        <w:tabs>
          <w:tab w:val="left" w:pos="709"/>
        </w:tabs>
        <w:suppressAutoHyphens/>
        <w:autoSpaceDE w:val="0"/>
        <w:jc w:val="both"/>
        <w:rPr>
          <w:lang w:val="en-GB"/>
        </w:rPr>
      </w:pPr>
      <w:bookmarkStart w:id="62" w:name="_Ref401245061"/>
      <w:r w:rsidRPr="00423598">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423598">
        <w:rPr>
          <w:i/>
          <w:lang w:val="en-GB"/>
        </w:rPr>
        <w:t>Varnava and Others v. Turkey</w:t>
      </w:r>
      <w:r w:rsidRPr="00423598">
        <w:rPr>
          <w:lang w:val="en-GB"/>
        </w:rPr>
        <w:t xml:space="preserve">, cited in § </w:t>
      </w:r>
      <w:r w:rsidRPr="00423598">
        <w:fldChar w:fldCharType="begin"/>
      </w:r>
      <w:r w:rsidRPr="00423598">
        <w:instrText xml:space="preserve"> REF _Ref346123885 \r \h  \* MERGEFORMAT </w:instrText>
      </w:r>
      <w:r w:rsidRPr="00423598">
        <w:fldChar w:fldCharType="separate"/>
      </w:r>
      <w:r w:rsidR="00423598" w:rsidRPr="00423598">
        <w:rPr>
          <w:lang w:val="en-GB"/>
        </w:rPr>
        <w:t>41</w:t>
      </w:r>
      <w:r w:rsidRPr="00423598">
        <w:fldChar w:fldCharType="end"/>
      </w:r>
      <w:r w:rsidRPr="00423598">
        <w:rPr>
          <w:lang w:val="en-GB"/>
        </w:rPr>
        <w:t xml:space="preserve"> above, at § 136</w:t>
      </w:r>
      <w:r w:rsidR="00423598" w:rsidRPr="00423598">
        <w:rPr>
          <w:lang w:val="en-GB"/>
        </w:rPr>
        <w:t>,</w:t>
      </w:r>
      <w:r w:rsidR="00423598" w:rsidRPr="00423598">
        <w:rPr>
          <w:i/>
          <w:iCs/>
          <w:lang w:val="en-GB"/>
        </w:rPr>
        <w:t xml:space="preserve"> </w:t>
      </w:r>
      <w:r w:rsidR="00423598" w:rsidRPr="00423598">
        <w:rPr>
          <w:lang w:val="en-GB"/>
        </w:rPr>
        <w:t xml:space="preserve">ECtHR [GC], </w:t>
      </w:r>
      <w:proofErr w:type="spellStart"/>
      <w:r w:rsidR="00423598" w:rsidRPr="00423598">
        <w:rPr>
          <w:i/>
          <w:iCs/>
          <w:lang w:val="en-GB"/>
        </w:rPr>
        <w:t>Mocanu</w:t>
      </w:r>
      <w:proofErr w:type="spellEnd"/>
      <w:r w:rsidR="00423598" w:rsidRPr="00423598">
        <w:rPr>
          <w:i/>
          <w:iCs/>
          <w:lang w:val="en-GB"/>
        </w:rPr>
        <w:t xml:space="preserve"> and Others v. Romania</w:t>
      </w:r>
      <w:r w:rsidR="00423598" w:rsidRPr="00423598">
        <w:rPr>
          <w:lang w:val="en-GB"/>
        </w:rPr>
        <w:t xml:space="preserve">, </w:t>
      </w:r>
      <w:proofErr w:type="spellStart"/>
      <w:r w:rsidR="00423598" w:rsidRPr="00423598">
        <w:rPr>
          <w:lang w:val="en-GB"/>
        </w:rPr>
        <w:t>nos</w:t>
      </w:r>
      <w:proofErr w:type="spellEnd"/>
      <w:r w:rsidR="00423598" w:rsidRPr="00423598">
        <w:rPr>
          <w:lang w:val="en-GB"/>
        </w:rPr>
        <w:t xml:space="preserve"> 10865/09, 45886/07 and 32431/08, judgment of 17 September 2014, § 317).</w:t>
      </w:r>
      <w:bookmarkEnd w:id="62"/>
    </w:p>
    <w:p w:rsidR="003E3F85" w:rsidRPr="00423598" w:rsidRDefault="003E3F85" w:rsidP="003E3F85">
      <w:pPr>
        <w:pStyle w:val="ListParagraph"/>
        <w:tabs>
          <w:tab w:val="num" w:pos="567"/>
        </w:tabs>
        <w:suppressAutoHyphens w:val="0"/>
        <w:ind w:left="567" w:hanging="425"/>
        <w:contextualSpacing/>
        <w:jc w:val="both"/>
        <w:rPr>
          <w:lang w:val="en-GB"/>
        </w:rPr>
      </w:pPr>
    </w:p>
    <w:p w:rsidR="003E3F85" w:rsidRPr="00423598" w:rsidRDefault="003E3F85" w:rsidP="00423598">
      <w:pPr>
        <w:pStyle w:val="ListParagraph"/>
        <w:numPr>
          <w:ilvl w:val="0"/>
          <w:numId w:val="2"/>
        </w:numPr>
        <w:jc w:val="both"/>
        <w:rPr>
          <w:lang w:val="en-GB" w:eastAsia="en-US"/>
        </w:rPr>
      </w:pPr>
      <w:bookmarkStart w:id="63" w:name="_Ref366240125"/>
      <w:r w:rsidRPr="00423598">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423598">
        <w:rPr>
          <w:i/>
          <w:lang w:val="en-GB"/>
        </w:rPr>
        <w:t>Ahmet Özkan and Others v. Turkey</w:t>
      </w:r>
      <w:r w:rsidRPr="00423598">
        <w:rPr>
          <w:lang w:val="en-GB"/>
        </w:rPr>
        <w:t xml:space="preserve">, no. 21689/93, judgment of 6 April 2004, § 310, see also ECtHR, </w:t>
      </w:r>
      <w:r w:rsidRPr="00423598">
        <w:rPr>
          <w:i/>
          <w:lang w:val="en-GB"/>
        </w:rPr>
        <w:t>Isayeva v. Russia</w:t>
      </w:r>
      <w:r w:rsidRPr="00423598">
        <w:rPr>
          <w:lang w:val="en-GB"/>
        </w:rPr>
        <w:t>, no. 57950/00, judg</w:t>
      </w:r>
      <w:r w:rsidR="00423598" w:rsidRPr="00423598">
        <w:rPr>
          <w:lang w:val="en-GB"/>
        </w:rPr>
        <w:t>ment of 24 February 2005, § 210,</w:t>
      </w:r>
      <w:r w:rsidR="00423598" w:rsidRPr="00423598">
        <w:rPr>
          <w:lang w:val="en-GB" w:eastAsia="en-US"/>
        </w:rPr>
        <w:t xml:space="preserve"> </w:t>
      </w:r>
      <w:r w:rsidR="00423598" w:rsidRPr="00423598">
        <w:rPr>
          <w:lang w:val="en-GB" w:eastAsia="en-US"/>
        </w:rPr>
        <w:t xml:space="preserve">ECtHR [GC], </w:t>
      </w:r>
      <w:proofErr w:type="spellStart"/>
      <w:r w:rsidR="00423598" w:rsidRPr="00423598">
        <w:rPr>
          <w:i/>
          <w:lang w:val="en-GB" w:eastAsia="en-US"/>
        </w:rPr>
        <w:t>Mocanu</w:t>
      </w:r>
      <w:proofErr w:type="spellEnd"/>
      <w:r w:rsidR="00423598" w:rsidRPr="00423598">
        <w:rPr>
          <w:i/>
          <w:lang w:val="en-GB" w:eastAsia="en-US"/>
        </w:rPr>
        <w:t xml:space="preserve"> and Others v. Romania</w:t>
      </w:r>
      <w:r w:rsidR="00423598" w:rsidRPr="00423598">
        <w:rPr>
          <w:lang w:val="en-GB" w:eastAsia="en-US"/>
        </w:rPr>
        <w:t>, cited above, § 321).</w:t>
      </w:r>
      <w:bookmarkStart w:id="64" w:name="_Ref346724174"/>
      <w:bookmarkEnd w:id="63"/>
    </w:p>
    <w:p w:rsidR="003E3F85" w:rsidRPr="00423598" w:rsidRDefault="003E3F85" w:rsidP="003E3F85">
      <w:pPr>
        <w:pStyle w:val="ListParagraph"/>
        <w:tabs>
          <w:tab w:val="num" w:pos="567"/>
        </w:tabs>
        <w:ind w:left="567" w:hanging="425"/>
        <w:rPr>
          <w:lang w:val="en-GB"/>
        </w:rPr>
      </w:pPr>
    </w:p>
    <w:p w:rsidR="003E3F85" w:rsidRPr="00423598" w:rsidRDefault="003E3F85" w:rsidP="003E3F85">
      <w:pPr>
        <w:numPr>
          <w:ilvl w:val="0"/>
          <w:numId w:val="2"/>
        </w:numPr>
        <w:tabs>
          <w:tab w:val="left" w:pos="709"/>
        </w:tabs>
        <w:suppressAutoHyphens/>
        <w:autoSpaceDE w:val="0"/>
        <w:jc w:val="both"/>
        <w:rPr>
          <w:lang w:val="en-GB"/>
        </w:rPr>
      </w:pPr>
      <w:bookmarkStart w:id="65" w:name="_Ref366239979"/>
      <w:r w:rsidRPr="00423598">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(see ECtHR [GC], </w:t>
      </w:r>
      <w:r w:rsidRPr="00423598">
        <w:rPr>
          <w:i/>
          <w:lang w:val="en-GB"/>
        </w:rPr>
        <w:t xml:space="preserve">Varnava and Others v. </w:t>
      </w:r>
      <w:r w:rsidRPr="00423598">
        <w:rPr>
          <w:lang w:val="en-GB"/>
        </w:rPr>
        <w:t xml:space="preserve">Turkey, cited in § </w:t>
      </w:r>
      <w:r w:rsidRPr="00423598">
        <w:fldChar w:fldCharType="begin"/>
      </w:r>
      <w:r w:rsidRPr="00423598">
        <w:instrText xml:space="preserve"> REF _Ref346123885 \r \h  \* MERGEFORMAT </w:instrText>
      </w:r>
      <w:r w:rsidRPr="00423598">
        <w:fldChar w:fldCharType="separate"/>
      </w:r>
      <w:r w:rsidR="00423598" w:rsidRPr="00423598">
        <w:rPr>
          <w:lang w:val="en-GB"/>
        </w:rPr>
        <w:t>41</w:t>
      </w:r>
      <w:r w:rsidRPr="00423598">
        <w:fldChar w:fldCharType="end"/>
      </w:r>
      <w:r w:rsidRPr="00423598">
        <w:rPr>
          <w:lang w:val="en-GB"/>
        </w:rPr>
        <w:t xml:space="preserve"> above, at § 191; see also ECtHR, </w:t>
      </w:r>
      <w:r w:rsidRPr="00423598">
        <w:rPr>
          <w:i/>
          <w:lang w:val="en-GB"/>
        </w:rPr>
        <w:t>Palić v. Bosnia and Herzegovina</w:t>
      </w:r>
      <w:r w:rsidRPr="00423598">
        <w:rPr>
          <w:lang w:val="en-GB"/>
        </w:rPr>
        <w:t xml:space="preserve">, no. 4704/04, judgment of 15 February 2011, § 63). This is not an obligation of results but of means. The </w:t>
      </w:r>
      <w:r w:rsidRPr="00423598">
        <w:rPr>
          <w:lang w:val="en-GB"/>
        </w:rPr>
        <w:lastRenderedPageBreak/>
        <w:t xml:space="preserve">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423598">
        <w:rPr>
          <w:i/>
          <w:lang w:val="en-GB"/>
        </w:rPr>
        <w:t>Ahmet Özkan and Others v. Turkey</w:t>
      </w:r>
      <w:r w:rsidRPr="00423598">
        <w:rPr>
          <w:lang w:val="en-GB"/>
        </w:rPr>
        <w:t>, cited above, at § 312, and ECtHR,</w:t>
      </w:r>
      <w:r w:rsidRPr="00423598">
        <w:rPr>
          <w:i/>
          <w:lang w:val="en-GB"/>
        </w:rPr>
        <w:t xml:space="preserve"> Isayeva v. Russia</w:t>
      </w:r>
      <w:r w:rsidRPr="00423598">
        <w:rPr>
          <w:lang w:val="en-GB"/>
        </w:rPr>
        <w:t>, cited above, at § 212).</w:t>
      </w:r>
      <w:bookmarkEnd w:id="64"/>
      <w:bookmarkEnd w:id="65"/>
      <w:r w:rsidRPr="00423598">
        <w:rPr>
          <w:lang w:val="en-GB"/>
        </w:rPr>
        <w:t xml:space="preserve"> </w:t>
      </w:r>
    </w:p>
    <w:p w:rsidR="003E3F85" w:rsidRPr="00423598" w:rsidRDefault="003E3F85" w:rsidP="003E3F85">
      <w:pPr>
        <w:pStyle w:val="ListParagraph"/>
        <w:suppressAutoHyphens w:val="0"/>
        <w:ind w:left="360"/>
        <w:contextualSpacing/>
        <w:jc w:val="both"/>
        <w:rPr>
          <w:lang w:val="en-GB" w:eastAsia="en-US"/>
        </w:rPr>
      </w:pPr>
    </w:p>
    <w:p w:rsidR="00423598" w:rsidRPr="00423598" w:rsidRDefault="003E3F85" w:rsidP="00423598">
      <w:pPr>
        <w:pStyle w:val="ListParagraph"/>
        <w:numPr>
          <w:ilvl w:val="0"/>
          <w:numId w:val="2"/>
        </w:numPr>
        <w:jc w:val="both"/>
        <w:rPr>
          <w:lang w:val="en-GB" w:eastAsia="en-US"/>
        </w:rPr>
      </w:pPr>
      <w:bookmarkStart w:id="66" w:name="_Ref373832219"/>
      <w:bookmarkStart w:id="67" w:name="_Ref401245516"/>
      <w:r w:rsidRPr="00423598">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423598">
        <w:rPr>
          <w:i/>
          <w:lang w:val="en-GB"/>
        </w:rPr>
        <w:t>Kolevi v. Bulgaria</w:t>
      </w:r>
      <w:r w:rsidRPr="00423598">
        <w:rPr>
          <w:lang w:val="en-GB"/>
        </w:rPr>
        <w:t xml:space="preserve">, cited in § </w:t>
      </w:r>
      <w:r w:rsidRPr="00423598">
        <w:fldChar w:fldCharType="begin"/>
      </w:r>
      <w:r w:rsidRPr="00423598">
        <w:instrText xml:space="preserve"> REF _Ref366239860 \r \h  \* MERGEFORMAT </w:instrText>
      </w:r>
      <w:r w:rsidRPr="00423598">
        <w:fldChar w:fldCharType="separate"/>
      </w:r>
      <w:r w:rsidR="00423598" w:rsidRPr="00423598">
        <w:rPr>
          <w:lang w:val="en-GB"/>
        </w:rPr>
        <w:t>70</w:t>
      </w:r>
      <w:r w:rsidRPr="00423598">
        <w:fldChar w:fldCharType="end"/>
      </w:r>
      <w:r w:rsidRPr="00423598">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66"/>
      <w:r w:rsidR="00423598" w:rsidRPr="00423598">
        <w:rPr>
          <w:lang w:val="en-GB"/>
        </w:rPr>
        <w:t xml:space="preserve"> </w:t>
      </w:r>
      <w:r w:rsidR="00423598" w:rsidRPr="00423598">
        <w:rPr>
          <w:color w:val="000000"/>
          <w:lang w:val="en-GB"/>
        </w:rPr>
        <w:t xml:space="preserve">(see ECtHR, </w:t>
      </w:r>
      <w:r w:rsidR="00423598" w:rsidRPr="00423598">
        <w:rPr>
          <w:i/>
          <w:color w:val="000000"/>
          <w:lang w:val="en-GB"/>
        </w:rPr>
        <w:t>Velcea and Maz</w:t>
      </w:r>
      <w:r w:rsidR="00423598" w:rsidRPr="00423598">
        <w:rPr>
          <w:i/>
          <w:lang w:val="en-GB"/>
        </w:rPr>
        <w:t>ăre v. Romania</w:t>
      </w:r>
      <w:r w:rsidR="00423598" w:rsidRPr="00423598">
        <w:rPr>
          <w:lang w:val="en-GB"/>
        </w:rPr>
        <w:t xml:space="preserve">, no. 64301/01, judgment of 1 December 2009, § 105). At the same time, </w:t>
      </w:r>
      <w:r w:rsidR="00423598" w:rsidRPr="00423598">
        <w:rPr>
          <w:rStyle w:val="sb8d990e2"/>
        </w:rPr>
        <w:t>the authorities must always make a serious attempt to find out what happened and should not rely on hasty or ill-founded conclusions to close their investigation</w:t>
      </w:r>
      <w:r w:rsidR="00423598" w:rsidRPr="00423598">
        <w:rPr>
          <w:rStyle w:val="sb8d990e2"/>
          <w:color w:val="FF0000"/>
        </w:rPr>
        <w:t xml:space="preserve"> </w:t>
      </w:r>
      <w:r w:rsidR="00423598" w:rsidRPr="00423598">
        <w:rPr>
          <w:lang w:val="en-GB" w:eastAsia="en-US"/>
        </w:rPr>
        <w:t xml:space="preserve">(see ECtHR [GC], </w:t>
      </w:r>
      <w:r w:rsidR="00423598" w:rsidRPr="00423598">
        <w:rPr>
          <w:i/>
          <w:lang w:val="en-GB" w:eastAsia="en-US"/>
        </w:rPr>
        <w:t>El-Masri v. “</w:t>
      </w:r>
      <w:r w:rsidR="00423598" w:rsidRPr="00423598">
        <w:rPr>
          <w:i/>
          <w:lang w:val="en-GB" w:eastAsia="en-US"/>
        </w:rPr>
        <w:t>The Former Yugoslav Republic of Macedonia</w:t>
      </w:r>
      <w:r w:rsidR="00423598" w:rsidRPr="00423598">
        <w:rPr>
          <w:i/>
          <w:lang w:val="en-GB" w:eastAsia="en-US"/>
        </w:rPr>
        <w:t>”</w:t>
      </w:r>
      <w:r w:rsidR="00423598" w:rsidRPr="00423598">
        <w:rPr>
          <w:lang w:val="en-GB" w:eastAsia="en-US"/>
        </w:rPr>
        <w:t xml:space="preserve">, no. 39630/09, judgment of 13 December 2012, § 183; ECtHR [GC], </w:t>
      </w:r>
      <w:proofErr w:type="spellStart"/>
      <w:r w:rsidR="00423598" w:rsidRPr="00423598">
        <w:rPr>
          <w:i/>
          <w:lang w:val="en-GB" w:eastAsia="en-US"/>
        </w:rPr>
        <w:t>Mocanu</w:t>
      </w:r>
      <w:proofErr w:type="spellEnd"/>
      <w:r w:rsidR="00423598" w:rsidRPr="00423598">
        <w:rPr>
          <w:i/>
          <w:lang w:val="en-GB" w:eastAsia="en-US"/>
        </w:rPr>
        <w:t xml:space="preserve"> and Others v. Romania</w:t>
      </w:r>
      <w:r w:rsidR="00423598" w:rsidRPr="00423598">
        <w:rPr>
          <w:lang w:val="en-GB" w:eastAsia="en-US"/>
        </w:rPr>
        <w:t xml:space="preserve">, cited in § </w:t>
      </w:r>
      <w:r w:rsidR="00423598">
        <w:rPr>
          <w:lang w:val="en-GB" w:eastAsia="en-US"/>
        </w:rPr>
        <w:fldChar w:fldCharType="begin"/>
      </w:r>
      <w:r w:rsidR="00423598">
        <w:rPr>
          <w:lang w:val="en-GB" w:eastAsia="en-US"/>
        </w:rPr>
        <w:instrText xml:space="preserve"> REF _Ref401245061 \r \h </w:instrText>
      </w:r>
      <w:r w:rsidR="00423598">
        <w:rPr>
          <w:lang w:val="en-GB" w:eastAsia="en-US"/>
        </w:rPr>
      </w:r>
      <w:r w:rsidR="00423598">
        <w:rPr>
          <w:lang w:val="en-GB" w:eastAsia="en-US"/>
        </w:rPr>
        <w:fldChar w:fldCharType="separate"/>
      </w:r>
      <w:r w:rsidR="00423598">
        <w:rPr>
          <w:lang w:val="en-GB" w:eastAsia="en-US"/>
        </w:rPr>
        <w:t>71</w:t>
      </w:r>
      <w:r w:rsidR="00423598">
        <w:rPr>
          <w:lang w:val="en-GB" w:eastAsia="en-US"/>
        </w:rPr>
        <w:fldChar w:fldCharType="end"/>
      </w:r>
      <w:r w:rsidR="00423598" w:rsidRPr="00423598">
        <w:rPr>
          <w:lang w:val="en-GB" w:eastAsia="en-US"/>
        </w:rPr>
        <w:t xml:space="preserve"> above, at § 322).</w:t>
      </w:r>
      <w:bookmarkEnd w:id="67"/>
    </w:p>
    <w:p w:rsidR="003E3F85" w:rsidRPr="00423598" w:rsidRDefault="003E3F85" w:rsidP="00423598">
      <w:pPr>
        <w:tabs>
          <w:tab w:val="left" w:pos="709"/>
        </w:tabs>
        <w:suppressAutoHyphens/>
        <w:autoSpaceDE w:val="0"/>
        <w:ind w:left="360"/>
        <w:jc w:val="both"/>
        <w:rPr>
          <w:lang w:val="en-GB"/>
        </w:rPr>
      </w:pPr>
    </w:p>
    <w:p w:rsidR="003E3F85" w:rsidRPr="00423598" w:rsidRDefault="003E3F85" w:rsidP="003E3F85">
      <w:pPr>
        <w:numPr>
          <w:ilvl w:val="0"/>
          <w:numId w:val="2"/>
        </w:numPr>
        <w:tabs>
          <w:tab w:val="left" w:pos="709"/>
        </w:tabs>
        <w:suppressAutoHyphens/>
        <w:autoSpaceDE w:val="0"/>
        <w:jc w:val="both"/>
        <w:rPr>
          <w:lang w:val="en-GB"/>
        </w:rPr>
      </w:pPr>
      <w:r w:rsidRPr="00423598">
        <w:rPr>
          <w:rStyle w:val="sb8d990e2"/>
        </w:rPr>
        <w:t xml:space="preserve">A requirement of promptness and reasonable expedition is implicit in this context. Even where there may be obstacles or difficulties which prevent progress in an </w:t>
      </w:r>
      <w:bookmarkStart w:id="68" w:name="HIT98"/>
      <w:bookmarkEnd w:id="68"/>
      <w:r w:rsidRPr="00423598">
        <w:rPr>
          <w:rStyle w:val="sb8d990e2"/>
        </w:rPr>
        <w:t xml:space="preserve">investigation in a particular situation, a </w:t>
      </w:r>
      <w:bookmarkStart w:id="69" w:name="HIT99"/>
      <w:bookmarkEnd w:id="69"/>
      <w:r w:rsidRPr="00423598">
        <w:rPr>
          <w:rStyle w:val="sb8d990e2"/>
        </w:rPr>
        <w:t>prompt response by the authorities is vital in maintaining public confidence in their adherence to the rule of law and in preventing any appearance of collusion in or tolerance of unlawful acts (see ECtHR,</w:t>
      </w:r>
      <w:r w:rsidRPr="00423598">
        <w:rPr>
          <w:rStyle w:val="s6b621b36"/>
        </w:rPr>
        <w:t xml:space="preserve"> </w:t>
      </w:r>
      <w:r w:rsidRPr="00423598">
        <w:rPr>
          <w:rStyle w:val="s6b621b36"/>
          <w:i/>
        </w:rPr>
        <w:t>Paul and Audrey Edwards</w:t>
      </w:r>
      <w:r w:rsidRPr="00423598">
        <w:rPr>
          <w:rStyle w:val="sb8d990e2"/>
        </w:rPr>
        <w:t xml:space="preserve"> </w:t>
      </w:r>
      <w:r w:rsidRPr="00423598">
        <w:rPr>
          <w:i/>
        </w:rPr>
        <w:t>v. the United Kingdom</w:t>
      </w:r>
      <w:r w:rsidRPr="00423598">
        <w:t xml:space="preserve">, no. 46477/99, judgment of 14 March 2002, § 72, </w:t>
      </w:r>
      <w:r w:rsidR="00423598" w:rsidRPr="00423598">
        <w:t xml:space="preserve">ECtHR [GC], </w:t>
      </w:r>
      <w:proofErr w:type="spellStart"/>
      <w:r w:rsidR="00423598" w:rsidRPr="00423598">
        <w:rPr>
          <w:i/>
        </w:rPr>
        <w:t>Mocanu</w:t>
      </w:r>
      <w:proofErr w:type="spellEnd"/>
      <w:r w:rsidR="00423598" w:rsidRPr="00423598">
        <w:rPr>
          <w:i/>
        </w:rPr>
        <w:t xml:space="preserve"> and Others v. Romania</w:t>
      </w:r>
      <w:r w:rsidR="00423598" w:rsidRPr="00423598">
        <w:t xml:space="preserve">, cited in § </w:t>
      </w:r>
      <w:r w:rsidR="00423598">
        <w:fldChar w:fldCharType="begin"/>
      </w:r>
      <w:r w:rsidR="00423598">
        <w:instrText xml:space="preserve"> REF _Ref401245061 \r \h </w:instrText>
      </w:r>
      <w:r w:rsidR="00423598">
        <w:fldChar w:fldCharType="separate"/>
      </w:r>
      <w:r w:rsidR="00423598">
        <w:t>71</w:t>
      </w:r>
      <w:r w:rsidR="00423598">
        <w:fldChar w:fldCharType="end"/>
      </w:r>
      <w:r w:rsidR="00423598">
        <w:t xml:space="preserve"> </w:t>
      </w:r>
      <w:r w:rsidR="00423598" w:rsidRPr="00423598">
        <w:t>above, at § 323</w:t>
      </w:r>
      <w:r w:rsidRPr="00423598">
        <w:t>).</w:t>
      </w:r>
    </w:p>
    <w:p w:rsidR="003E3F85" w:rsidRPr="00423598" w:rsidRDefault="003E3F85" w:rsidP="003E3F85">
      <w:pPr>
        <w:tabs>
          <w:tab w:val="num" w:pos="567"/>
        </w:tabs>
        <w:ind w:left="567" w:hanging="425"/>
        <w:contextualSpacing/>
        <w:jc w:val="both"/>
        <w:rPr>
          <w:lang w:val="en-GB"/>
        </w:rPr>
      </w:pPr>
    </w:p>
    <w:p w:rsidR="003E3F85" w:rsidRPr="00423598" w:rsidRDefault="003E3F85" w:rsidP="003E3F85">
      <w:pPr>
        <w:numPr>
          <w:ilvl w:val="0"/>
          <w:numId w:val="2"/>
        </w:numPr>
        <w:tabs>
          <w:tab w:val="left" w:pos="709"/>
        </w:tabs>
        <w:suppressAutoHyphens/>
        <w:autoSpaceDE w:val="0"/>
        <w:jc w:val="both"/>
        <w:rPr>
          <w:lang w:val="en-GB"/>
        </w:rPr>
      </w:pPr>
      <w:bookmarkStart w:id="70" w:name="_Ref373950745"/>
      <w:r w:rsidRPr="00423598">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423598">
        <w:rPr>
          <w:i/>
          <w:lang w:val="en-GB"/>
        </w:rPr>
        <w:t>Palić v. Bosnia and Herzegovina</w:t>
      </w:r>
      <w:r w:rsidRPr="00423598">
        <w:rPr>
          <w:lang w:val="en-GB"/>
        </w:rPr>
        <w:t xml:space="preserve">, cited in § </w:t>
      </w:r>
      <w:r w:rsidRPr="00423598">
        <w:fldChar w:fldCharType="begin"/>
      </w:r>
      <w:r w:rsidRPr="00423598">
        <w:instrText xml:space="preserve"> REF _Ref366239979 \r \h  \* MERGEFORMAT </w:instrText>
      </w:r>
      <w:r w:rsidRPr="00423598">
        <w:fldChar w:fldCharType="separate"/>
      </w:r>
      <w:r w:rsidR="00423598" w:rsidRPr="00423598">
        <w:rPr>
          <w:lang w:val="en-GB"/>
        </w:rPr>
        <w:t>73</w:t>
      </w:r>
      <w:r w:rsidRPr="00423598">
        <w:fldChar w:fldCharType="end"/>
      </w:r>
      <w:r w:rsidRPr="00423598">
        <w:rPr>
          <w:lang w:val="en-GB"/>
        </w:rPr>
        <w:t xml:space="preserve"> above, § 46; in the same sense ECtHR [GC], </w:t>
      </w:r>
      <w:r w:rsidRPr="00423598">
        <w:rPr>
          <w:i/>
          <w:lang w:val="en-GB"/>
        </w:rPr>
        <w:t>Varnava and Others v. Turkey</w:t>
      </w:r>
      <w:r w:rsidRPr="00423598">
        <w:rPr>
          <w:lang w:val="en-GB"/>
        </w:rPr>
        <w:t xml:space="preserve">, cited in § </w:t>
      </w:r>
      <w:r w:rsidRPr="00423598">
        <w:fldChar w:fldCharType="begin"/>
      </w:r>
      <w:r w:rsidRPr="00423598">
        <w:instrText xml:space="preserve"> REF _Ref346123885 \r \h  \* MERGEFORMAT </w:instrText>
      </w:r>
      <w:r w:rsidRPr="00423598">
        <w:fldChar w:fldCharType="separate"/>
      </w:r>
      <w:r w:rsidR="00423598" w:rsidRPr="00423598">
        <w:rPr>
          <w:lang w:val="en-GB"/>
        </w:rPr>
        <w:t>41</w:t>
      </w:r>
      <w:r w:rsidRPr="00423598">
        <w:fldChar w:fldCharType="end"/>
      </w:r>
      <w:r w:rsidRPr="00423598">
        <w:rPr>
          <w:lang w:val="en-GB"/>
        </w:rPr>
        <w:t xml:space="preserve"> above, § 148, </w:t>
      </w:r>
      <w:r w:rsidRPr="00423598">
        <w:rPr>
          <w:i/>
          <w:lang w:val="en-GB"/>
        </w:rPr>
        <w:t>Aslakhanova and Others v. Russia</w:t>
      </w:r>
      <w:r w:rsidRPr="00423598">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423598">
        <w:rPr>
          <w:i/>
          <w:lang w:val="en-GB"/>
        </w:rPr>
        <w:t>Palić v. Bosnia and Herzegovina</w:t>
      </w:r>
      <w:r w:rsidRPr="00423598">
        <w:rPr>
          <w:lang w:val="en-GB"/>
        </w:rPr>
        <w:t xml:space="preserve">, cited above, § 46; in the same sense ECtHR [GC], </w:t>
      </w:r>
      <w:r w:rsidRPr="00423598">
        <w:rPr>
          <w:i/>
          <w:lang w:val="en-GB"/>
        </w:rPr>
        <w:t>Varnava and Others v. Turkey</w:t>
      </w:r>
      <w:r w:rsidRPr="00423598">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423598">
        <w:rPr>
          <w:i/>
          <w:lang w:val="en-GB"/>
        </w:rPr>
        <w:t>Palić v. Bosnia and Herzegovina</w:t>
      </w:r>
      <w:r w:rsidRPr="00423598">
        <w:rPr>
          <w:lang w:val="en-GB"/>
        </w:rPr>
        <w:t>, cited above, § 64).</w:t>
      </w:r>
      <w:bookmarkStart w:id="71" w:name="_Ref347937166"/>
      <w:bookmarkEnd w:id="70"/>
    </w:p>
    <w:p w:rsidR="003E3F85" w:rsidRPr="00423598" w:rsidRDefault="003E3F85" w:rsidP="003E3F85">
      <w:pPr>
        <w:pStyle w:val="ListParagraph"/>
        <w:suppressAutoHyphens w:val="0"/>
        <w:ind w:left="360"/>
        <w:contextualSpacing/>
        <w:jc w:val="both"/>
        <w:rPr>
          <w:lang w:val="en-GB" w:eastAsia="en-US"/>
        </w:rPr>
      </w:pPr>
    </w:p>
    <w:p w:rsidR="002437E9" w:rsidRPr="00423598" w:rsidRDefault="003E3F85" w:rsidP="002437E9">
      <w:pPr>
        <w:numPr>
          <w:ilvl w:val="0"/>
          <w:numId w:val="2"/>
        </w:numPr>
        <w:tabs>
          <w:tab w:val="left" w:pos="709"/>
        </w:tabs>
        <w:suppressAutoHyphens/>
        <w:autoSpaceDE w:val="0"/>
        <w:jc w:val="both"/>
        <w:rPr>
          <w:lang w:val="en-GB"/>
        </w:rPr>
      </w:pPr>
      <w:bookmarkStart w:id="72" w:name="_Ref366240205"/>
      <w:r w:rsidRPr="00423598">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423598">
        <w:rPr>
          <w:lang w:val="en-GB"/>
        </w:rPr>
        <w:t xml:space="preserve">ECtHR, </w:t>
      </w:r>
      <w:r w:rsidRPr="00423598">
        <w:rPr>
          <w:i/>
          <w:lang w:val="en-GB"/>
        </w:rPr>
        <w:t>Ahmet Özkan and Others v. Turkey</w:t>
      </w:r>
      <w:r w:rsidRPr="00423598">
        <w:rPr>
          <w:lang w:val="en-GB"/>
        </w:rPr>
        <w:t xml:space="preserve">, cited in § </w:t>
      </w:r>
      <w:r w:rsidRPr="00423598">
        <w:fldChar w:fldCharType="begin"/>
      </w:r>
      <w:r w:rsidRPr="00423598">
        <w:instrText xml:space="preserve"> REF _Ref366240125 \r \h  \* MERGEFORMAT </w:instrText>
      </w:r>
      <w:r w:rsidRPr="00423598">
        <w:fldChar w:fldCharType="separate"/>
      </w:r>
      <w:r w:rsidR="00423598" w:rsidRPr="00423598">
        <w:rPr>
          <w:lang w:val="en-GB"/>
        </w:rPr>
        <w:t>72</w:t>
      </w:r>
      <w:r w:rsidRPr="00423598">
        <w:fldChar w:fldCharType="end"/>
      </w:r>
      <w:r w:rsidRPr="00423598">
        <w:rPr>
          <w:lang w:val="en-GB"/>
        </w:rPr>
        <w:t xml:space="preserve"> above, at §§ 311</w:t>
      </w:r>
      <w:r w:rsidRPr="00423598">
        <w:rPr>
          <w:lang w:val="en-GB"/>
        </w:rPr>
        <w:noBreakHyphen/>
        <w:t xml:space="preserve">314; </w:t>
      </w:r>
      <w:r w:rsidR="00566413" w:rsidRPr="00423598">
        <w:rPr>
          <w:lang w:val="en-GB"/>
        </w:rPr>
        <w:t xml:space="preserve">ECtHR, </w:t>
      </w:r>
      <w:r w:rsidRPr="00423598">
        <w:rPr>
          <w:i/>
          <w:lang w:val="en-GB"/>
        </w:rPr>
        <w:t>Isayeva v. Russia</w:t>
      </w:r>
      <w:r w:rsidRPr="00423598">
        <w:rPr>
          <w:lang w:val="en-GB"/>
        </w:rPr>
        <w:t xml:space="preserve">, cited in § </w:t>
      </w:r>
      <w:r w:rsidRPr="00423598">
        <w:fldChar w:fldCharType="begin"/>
      </w:r>
      <w:r w:rsidRPr="00423598">
        <w:instrText xml:space="preserve"> REF _Ref366240125 \r \h  \* MERGEFORMAT </w:instrText>
      </w:r>
      <w:r w:rsidRPr="00423598">
        <w:fldChar w:fldCharType="separate"/>
      </w:r>
      <w:r w:rsidR="00423598" w:rsidRPr="00423598">
        <w:rPr>
          <w:lang w:val="en-GB"/>
        </w:rPr>
        <w:t>72</w:t>
      </w:r>
      <w:r w:rsidRPr="00423598">
        <w:fldChar w:fldCharType="end"/>
      </w:r>
      <w:r w:rsidRPr="00423598">
        <w:rPr>
          <w:lang w:val="en-GB"/>
        </w:rPr>
        <w:t xml:space="preserve"> above, §§ 211-214 and the cases cited therein</w:t>
      </w:r>
      <w:r w:rsidR="00566413" w:rsidRPr="00423598">
        <w:rPr>
          <w:lang w:val="en-GB"/>
        </w:rPr>
        <w:t>;</w:t>
      </w:r>
      <w:r w:rsidRPr="00423598">
        <w:rPr>
          <w:lang w:val="en-GB"/>
        </w:rPr>
        <w:t xml:space="preserve"> ECtHR [GC], </w:t>
      </w:r>
      <w:r w:rsidRPr="00423598">
        <w:rPr>
          <w:i/>
          <w:lang w:val="en-GB"/>
        </w:rPr>
        <w:t>Al-Skeini and Others v. United Kingdom</w:t>
      </w:r>
      <w:r w:rsidRPr="00423598">
        <w:rPr>
          <w:lang w:val="en-GB"/>
        </w:rPr>
        <w:t>, no. 55721/07, judgment of 7 July 2011, § 167, ECHR 2011</w:t>
      </w:r>
      <w:r w:rsidR="00423598" w:rsidRPr="00423598">
        <w:rPr>
          <w:lang w:val="en-GB"/>
        </w:rPr>
        <w:t xml:space="preserve">, </w:t>
      </w:r>
      <w:r w:rsidR="00423598" w:rsidRPr="00423598">
        <w:rPr>
          <w:lang w:val="en-GB"/>
        </w:rPr>
        <w:t xml:space="preserve">ECtHR [GC], </w:t>
      </w:r>
      <w:proofErr w:type="spellStart"/>
      <w:r w:rsidR="00423598" w:rsidRPr="00423598">
        <w:rPr>
          <w:i/>
          <w:lang w:val="en-GB"/>
        </w:rPr>
        <w:t>Mocanu</w:t>
      </w:r>
      <w:proofErr w:type="spellEnd"/>
      <w:r w:rsidR="00423598" w:rsidRPr="00423598">
        <w:rPr>
          <w:i/>
          <w:lang w:val="en-GB"/>
        </w:rPr>
        <w:t xml:space="preserve"> and Others v. Romania</w:t>
      </w:r>
      <w:r w:rsidR="00423598" w:rsidRPr="00423598">
        <w:rPr>
          <w:lang w:val="en-GB"/>
        </w:rPr>
        <w:t xml:space="preserve">, cited in § </w:t>
      </w:r>
      <w:r w:rsidR="00423598" w:rsidRPr="00423598">
        <w:rPr>
          <w:lang w:val="en-GB"/>
        </w:rPr>
        <w:fldChar w:fldCharType="begin"/>
      </w:r>
      <w:r w:rsidR="00423598" w:rsidRPr="00423598">
        <w:rPr>
          <w:lang w:val="en-GB"/>
        </w:rPr>
        <w:instrText xml:space="preserve"> REF _Ref401245061 \r \h </w:instrText>
      </w:r>
      <w:r w:rsidR="00423598" w:rsidRPr="00423598">
        <w:rPr>
          <w:lang w:val="en-GB"/>
        </w:rPr>
      </w:r>
      <w:r w:rsidR="00423598" w:rsidRPr="00423598">
        <w:rPr>
          <w:lang w:val="en-GB"/>
        </w:rPr>
        <w:instrText xml:space="preserve"> \* MERGEFORMAT </w:instrText>
      </w:r>
      <w:r w:rsidR="00423598" w:rsidRPr="00423598">
        <w:rPr>
          <w:lang w:val="en-GB"/>
        </w:rPr>
        <w:fldChar w:fldCharType="separate"/>
      </w:r>
      <w:r w:rsidR="00423598">
        <w:rPr>
          <w:lang w:val="en-GB"/>
        </w:rPr>
        <w:t>71</w:t>
      </w:r>
      <w:r w:rsidR="00423598" w:rsidRPr="00423598">
        <w:rPr>
          <w:lang w:val="en-GB"/>
        </w:rPr>
        <w:fldChar w:fldCharType="end"/>
      </w:r>
      <w:r w:rsidR="00423598" w:rsidRPr="00423598">
        <w:rPr>
          <w:lang w:val="en-GB"/>
        </w:rPr>
        <w:t xml:space="preserve"> above, at § 324</w:t>
      </w:r>
      <w:r w:rsidRPr="00423598">
        <w:rPr>
          <w:lang w:val="en-GB"/>
        </w:rPr>
        <w:t>).</w:t>
      </w:r>
      <w:bookmarkEnd w:id="71"/>
      <w:bookmarkEnd w:id="72"/>
    </w:p>
    <w:p w:rsidR="002437E9" w:rsidRPr="00423598" w:rsidRDefault="002437E9" w:rsidP="002437E9">
      <w:pPr>
        <w:pStyle w:val="ListParagraph"/>
        <w:rPr>
          <w:lang w:val="en-GB"/>
        </w:rPr>
      </w:pPr>
    </w:p>
    <w:p w:rsidR="003E3F85" w:rsidRPr="00423598" w:rsidRDefault="002437E9" w:rsidP="002437E9">
      <w:pPr>
        <w:numPr>
          <w:ilvl w:val="0"/>
          <w:numId w:val="2"/>
        </w:numPr>
        <w:tabs>
          <w:tab w:val="left" w:pos="709"/>
        </w:tabs>
        <w:suppressAutoHyphens/>
        <w:autoSpaceDE w:val="0"/>
        <w:jc w:val="both"/>
        <w:rPr>
          <w:lang w:val="en-GB"/>
        </w:rPr>
      </w:pPr>
      <w:r w:rsidRPr="00423598">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423598">
        <w:rPr>
          <w:lang w:val="en-GB"/>
        </w:rPr>
        <w:t xml:space="preserve">ECtHR, </w:t>
      </w:r>
      <w:r w:rsidR="00423598" w:rsidRPr="00423598">
        <w:rPr>
          <w:i/>
          <w:iCs/>
          <w:lang w:val="en-GB"/>
        </w:rPr>
        <w:t>El-Masri v. “</w:t>
      </w:r>
      <w:r w:rsidR="00423598" w:rsidRPr="00423598">
        <w:rPr>
          <w:i/>
          <w:iCs/>
          <w:lang w:val="en-GB"/>
        </w:rPr>
        <w:t>The Former Yugoslav Republic of Macedonia</w:t>
      </w:r>
      <w:r w:rsidR="00423598" w:rsidRPr="00423598">
        <w:rPr>
          <w:i/>
          <w:iCs/>
          <w:lang w:val="en-GB"/>
        </w:rPr>
        <w:t>”</w:t>
      </w:r>
      <w:r w:rsidR="00423598" w:rsidRPr="00423598">
        <w:rPr>
          <w:lang w:val="en-GB"/>
        </w:rPr>
        <w:t xml:space="preserve">, cited in § </w:t>
      </w:r>
      <w:r w:rsidR="00423598" w:rsidRPr="00423598">
        <w:rPr>
          <w:lang w:val="en-GB"/>
        </w:rPr>
        <w:fldChar w:fldCharType="begin"/>
      </w:r>
      <w:r w:rsidR="00423598" w:rsidRPr="00423598">
        <w:rPr>
          <w:lang w:val="en-GB"/>
        </w:rPr>
        <w:instrText xml:space="preserve"> REF _Ref401245516 \r \h </w:instrText>
      </w:r>
      <w:r w:rsidR="00423598" w:rsidRPr="00423598">
        <w:rPr>
          <w:lang w:val="en-GB"/>
        </w:rPr>
      </w:r>
      <w:r w:rsidR="00423598" w:rsidRPr="00423598">
        <w:rPr>
          <w:lang w:val="en-GB"/>
        </w:rPr>
        <w:instrText xml:space="preserve"> \* MERGEFORMAT </w:instrText>
      </w:r>
      <w:r w:rsidR="00423598" w:rsidRPr="00423598">
        <w:rPr>
          <w:lang w:val="en-GB"/>
        </w:rPr>
        <w:fldChar w:fldCharType="separate"/>
      </w:r>
      <w:r w:rsidR="00423598">
        <w:rPr>
          <w:lang w:val="en-GB"/>
        </w:rPr>
        <w:t>74</w:t>
      </w:r>
      <w:r w:rsidR="00423598" w:rsidRPr="00423598">
        <w:rPr>
          <w:lang w:val="en-GB"/>
        </w:rPr>
        <w:fldChar w:fldCharType="end"/>
      </w:r>
      <w:r w:rsidR="00423598" w:rsidRPr="00423598">
        <w:rPr>
          <w:lang w:val="en-GB"/>
        </w:rPr>
        <w:t xml:space="preserve"> above, § 191</w:t>
      </w:r>
      <w:r w:rsidRPr="00423598">
        <w:rPr>
          <w:lang w:val="en-GB"/>
        </w:rPr>
        <w:t xml:space="preserve">; ECtHR, </w:t>
      </w:r>
      <w:r w:rsidRPr="00423598">
        <w:rPr>
          <w:i/>
          <w:iCs/>
          <w:lang w:val="en-GB"/>
        </w:rPr>
        <w:t>Al Nashiri v. Poland</w:t>
      </w:r>
      <w:r w:rsidRPr="00423598">
        <w:rPr>
          <w:lang w:val="en-GB"/>
        </w:rPr>
        <w:t xml:space="preserve">, no. 28761/11, judgment of 24 July 2014, §§ 495-496). </w:t>
      </w:r>
      <w:r w:rsidRPr="00423598">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423598">
        <w:t xml:space="preserve"> see also HRC,  </w:t>
      </w:r>
      <w:r w:rsidRPr="00423598">
        <w:rPr>
          <w:i/>
          <w:iCs/>
        </w:rPr>
        <w:t>Schedko and Bondarenko v. Belarus</w:t>
      </w:r>
      <w:r w:rsidRPr="00423598">
        <w:t xml:space="preserve">, Communication no. 886/1999, views of 3 April 2003, § 10.2, CCPR/C/77/D/886/1999; HRC, </w:t>
      </w:r>
      <w:r w:rsidRPr="00423598">
        <w:rPr>
          <w:i/>
          <w:iCs/>
        </w:rPr>
        <w:t>Mariam, Philippe, Auguste and Thomas Sankara v. Burkina Faso</w:t>
      </w:r>
      <w:r w:rsidRPr="00423598">
        <w:t>, Communication no. 1159/2003, views of 8 March 2006</w:t>
      </w:r>
      <w:r w:rsidRPr="00423598">
        <w:rPr>
          <w:color w:val="000000"/>
          <w:sz w:val="27"/>
          <w:szCs w:val="27"/>
          <w:shd w:val="clear" w:color="auto" w:fill="FFFFFF"/>
        </w:rPr>
        <w:t xml:space="preserve">, </w:t>
      </w:r>
      <w:r w:rsidRPr="00423598">
        <w:t xml:space="preserve">§ 10.2, CCPR/C/86/D/1159/2003; UN Human Rights Council, Resolutions 9/11 and 12/12: Right to the </w:t>
      </w:r>
      <w:r w:rsidRPr="00423598">
        <w:rPr>
          <w:lang w:val="en-GB"/>
        </w:rPr>
        <w:t>Truth</w:t>
      </w:r>
      <w:r w:rsidRPr="00423598">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423598">
        <w:rPr>
          <w:i/>
          <w:iCs/>
        </w:rPr>
        <w:t>Framework Principles for securing the accountability of public officials for gross and systematic human rights violations committed in the context of State counter-terrorist initiatives</w:t>
      </w:r>
      <w:r w:rsidRPr="00423598">
        <w:t>, UN Document A/HRC/22/52, 1 March 2013, § 23-26).</w:t>
      </w:r>
    </w:p>
    <w:p w:rsidR="002C60F4" w:rsidRPr="00423598" w:rsidRDefault="002C60F4" w:rsidP="002437E9">
      <w:pPr>
        <w:tabs>
          <w:tab w:val="left" w:pos="709"/>
        </w:tabs>
        <w:suppressAutoHyphens/>
        <w:autoSpaceDE w:val="0"/>
        <w:ind w:left="360"/>
        <w:jc w:val="both"/>
        <w:rPr>
          <w:lang w:val="en-GB"/>
        </w:rPr>
      </w:pPr>
    </w:p>
    <w:p w:rsidR="003E3F85" w:rsidRPr="00423598" w:rsidRDefault="003E3F85" w:rsidP="003E3F85">
      <w:pPr>
        <w:pStyle w:val="ListParagraph"/>
        <w:numPr>
          <w:ilvl w:val="0"/>
          <w:numId w:val="7"/>
        </w:numPr>
        <w:contextualSpacing/>
        <w:jc w:val="both"/>
        <w:rPr>
          <w:i/>
          <w:lang w:val="en-GB" w:eastAsia="en-US"/>
        </w:rPr>
      </w:pPr>
      <w:r w:rsidRPr="00423598">
        <w:rPr>
          <w:i/>
          <w:lang w:val="en-GB"/>
        </w:rPr>
        <w:t>Applicability</w:t>
      </w:r>
      <w:r w:rsidRPr="00423598">
        <w:rPr>
          <w:i/>
          <w:lang w:val="en-GB" w:eastAsia="en-US"/>
        </w:rPr>
        <w:t xml:space="preserve"> of Article 2 to the Kosovo context</w:t>
      </w:r>
    </w:p>
    <w:p w:rsidR="003E3F85" w:rsidRPr="00423598" w:rsidRDefault="003E3F85" w:rsidP="003E3F85">
      <w:pPr>
        <w:pStyle w:val="ListParagraph"/>
        <w:tabs>
          <w:tab w:val="num" w:pos="567"/>
        </w:tabs>
        <w:ind w:left="567" w:hanging="425"/>
        <w:rPr>
          <w:lang w:val="en-GB" w:eastAsia="en-US"/>
        </w:rPr>
      </w:pPr>
    </w:p>
    <w:p w:rsidR="003E3F85" w:rsidRPr="00423598" w:rsidRDefault="003E3F85" w:rsidP="003E3F85">
      <w:pPr>
        <w:numPr>
          <w:ilvl w:val="0"/>
          <w:numId w:val="2"/>
        </w:numPr>
        <w:tabs>
          <w:tab w:val="left" w:pos="709"/>
        </w:tabs>
        <w:suppressAutoHyphens/>
        <w:autoSpaceDE w:val="0"/>
        <w:jc w:val="both"/>
        <w:rPr>
          <w:lang w:val="en-GB"/>
        </w:rPr>
      </w:pPr>
      <w:bookmarkStart w:id="73" w:name="_Ref366163783"/>
      <w:r w:rsidRPr="00423598">
        <w:rPr>
          <w:lang w:val="en-GB"/>
        </w:rPr>
        <w:t xml:space="preserve">The Panel is conscious that </w:t>
      </w:r>
      <w:r w:rsidR="002E1F96" w:rsidRPr="00423598">
        <w:rPr>
          <w:lang w:val="en-GB"/>
        </w:rPr>
        <w:t>Mr Rade Budimir</w:t>
      </w:r>
      <w:r w:rsidR="002E1F96" w:rsidRPr="00423598">
        <w:t xml:space="preserve"> </w:t>
      </w:r>
      <w:r w:rsidR="00423598" w:rsidRPr="00423598">
        <w:rPr>
          <w:lang w:val="en-GB"/>
        </w:rPr>
        <w:t>was abducted</w:t>
      </w:r>
      <w:r w:rsidR="002948A6" w:rsidRPr="00423598">
        <w:rPr>
          <w:lang w:val="en-GB"/>
        </w:rPr>
        <w:t xml:space="preserve"> </w:t>
      </w:r>
      <w:r w:rsidR="00622236" w:rsidRPr="00423598">
        <w:rPr>
          <w:lang w:val="en-GB"/>
        </w:rPr>
        <w:t>shortly</w:t>
      </w:r>
      <w:r w:rsidR="002948A6" w:rsidRPr="00423598">
        <w:rPr>
          <w:lang w:val="en-GB"/>
        </w:rPr>
        <w:t xml:space="preserve"> </w:t>
      </w:r>
      <w:r w:rsidRPr="00423598">
        <w:rPr>
          <w:lang w:val="en-GB"/>
        </w:rPr>
        <w:t>after the deployment of UNMIK in Kosovo in the aftermath of the armed conflict, when crime, violence and insecurity were rife.</w:t>
      </w:r>
      <w:bookmarkEnd w:id="73"/>
    </w:p>
    <w:p w:rsidR="003E3F85" w:rsidRPr="00423598" w:rsidRDefault="003E3F85" w:rsidP="003E3F85">
      <w:pPr>
        <w:pStyle w:val="ListParagraph"/>
        <w:ind w:left="567"/>
        <w:contextualSpacing/>
        <w:jc w:val="both"/>
        <w:rPr>
          <w:lang w:val="en-GB" w:eastAsia="en-US"/>
        </w:rPr>
      </w:pPr>
    </w:p>
    <w:p w:rsidR="003E3F85" w:rsidRPr="00423598" w:rsidRDefault="003E3F85" w:rsidP="003E3F85">
      <w:pPr>
        <w:numPr>
          <w:ilvl w:val="0"/>
          <w:numId w:val="2"/>
        </w:numPr>
        <w:tabs>
          <w:tab w:val="left" w:pos="709"/>
        </w:tabs>
        <w:suppressAutoHyphens/>
        <w:autoSpaceDE w:val="0"/>
        <w:jc w:val="both"/>
        <w:rPr>
          <w:lang w:val="en-GB"/>
        </w:rPr>
      </w:pPr>
      <w:r w:rsidRPr="00423598">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423598" w:rsidRDefault="003E3F85" w:rsidP="003E3F85">
      <w:pPr>
        <w:pStyle w:val="ListParagraph"/>
        <w:ind w:left="567"/>
        <w:contextualSpacing/>
        <w:jc w:val="both"/>
        <w:rPr>
          <w:lang w:val="en-GB" w:eastAsia="en-US"/>
        </w:rPr>
      </w:pPr>
    </w:p>
    <w:p w:rsidR="003E3F85" w:rsidRPr="00423598" w:rsidRDefault="003E3F85" w:rsidP="003E3F85">
      <w:pPr>
        <w:numPr>
          <w:ilvl w:val="0"/>
          <w:numId w:val="2"/>
        </w:numPr>
        <w:tabs>
          <w:tab w:val="left" w:pos="709"/>
        </w:tabs>
        <w:suppressAutoHyphens/>
        <w:autoSpaceDE w:val="0"/>
        <w:jc w:val="both"/>
        <w:rPr>
          <w:lang w:val="en-GB"/>
        </w:rPr>
      </w:pPr>
      <w:r w:rsidRPr="00423598">
        <w:rPr>
          <w:lang w:val="en-GB"/>
        </w:rPr>
        <w:t xml:space="preserve">The </w:t>
      </w:r>
      <w:r w:rsidRPr="00423598">
        <w:rPr>
          <w:lang w:val="en-GB" w:eastAsia="nl-BE"/>
        </w:rPr>
        <w:t>Panel</w:t>
      </w:r>
      <w:r w:rsidRPr="00423598">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423598" w:rsidRDefault="003E3F85" w:rsidP="003E3F85">
      <w:pPr>
        <w:pStyle w:val="ListParagraph"/>
        <w:ind w:left="567" w:hanging="425"/>
        <w:rPr>
          <w:lang w:val="en-GB" w:eastAsia="en-US"/>
        </w:rPr>
      </w:pPr>
    </w:p>
    <w:p w:rsidR="003E3F85" w:rsidRPr="00423598" w:rsidRDefault="003E3F85" w:rsidP="003E3F85">
      <w:pPr>
        <w:numPr>
          <w:ilvl w:val="0"/>
          <w:numId w:val="2"/>
        </w:numPr>
        <w:tabs>
          <w:tab w:val="left" w:pos="709"/>
        </w:tabs>
        <w:suppressAutoHyphens/>
        <w:autoSpaceDE w:val="0"/>
        <w:jc w:val="both"/>
        <w:rPr>
          <w:lang w:val="en-GB"/>
        </w:rPr>
      </w:pPr>
      <w:r w:rsidRPr="00423598">
        <w:rPr>
          <w:lang w:val="en-GB"/>
        </w:rPr>
        <w:t xml:space="preserve">As regards </w:t>
      </w:r>
      <w:r w:rsidRPr="00423598">
        <w:t>t</w:t>
      </w:r>
      <w:r w:rsidRPr="00423598">
        <w:rPr>
          <w:lang w:val="en-GB"/>
        </w:rPr>
        <w:t xml:space="preserve">he applicability of Article 2 to UNMIK, the Panel recalls </w:t>
      </w:r>
      <w:r w:rsidRPr="00423598">
        <w:rPr>
          <w:lang w:val="en-GB" w:eastAsia="nl-BE"/>
        </w:rPr>
        <w:t xml:space="preserve">that with the adoption of the UNMIK Regulation No. 1999/1 on 25 July 1999 UNMIK undertook an obligation to observe internationally recognised human rights standards in exercising its </w:t>
      </w:r>
      <w:r w:rsidRPr="00423598">
        <w:rPr>
          <w:lang w:val="en-GB"/>
        </w:rPr>
        <w:t>functions</w:t>
      </w:r>
      <w:r w:rsidRPr="00423598">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423598">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423598">
        <w:rPr>
          <w:i/>
          <w:lang w:val="en-GB"/>
        </w:rPr>
        <w:t>Milogorić</w:t>
      </w:r>
      <w:r w:rsidRPr="00423598">
        <w:rPr>
          <w:lang w:val="en-GB"/>
        </w:rPr>
        <w:t xml:space="preserve"> </w:t>
      </w:r>
      <w:r w:rsidRPr="00423598">
        <w:rPr>
          <w:i/>
          <w:lang w:val="en-GB"/>
        </w:rPr>
        <w:t>and Others,</w:t>
      </w:r>
      <w:r w:rsidRPr="00423598">
        <w:rPr>
          <w:lang w:val="en-GB"/>
        </w:rPr>
        <w:t xml:space="preserve"> nos. 38/08 and others, opinion of 24 March 2011, § 44; </w:t>
      </w:r>
      <w:r w:rsidRPr="00423598">
        <w:rPr>
          <w:i/>
          <w:lang w:val="en-GB"/>
        </w:rPr>
        <w:t>Berisha and Others,</w:t>
      </w:r>
      <w:r w:rsidRPr="00423598">
        <w:rPr>
          <w:lang w:val="en-GB"/>
        </w:rPr>
        <w:t xml:space="preserve"> nos. 27/08 and others, opinion of 23 February 2011,</w:t>
      </w:r>
      <w:r w:rsidRPr="00423598">
        <w:rPr>
          <w:i/>
          <w:lang w:val="en-GB"/>
        </w:rPr>
        <w:t xml:space="preserve"> </w:t>
      </w:r>
      <w:r w:rsidRPr="00423598">
        <w:rPr>
          <w:lang w:val="en-GB"/>
        </w:rPr>
        <w:t xml:space="preserve">§ 25; </w:t>
      </w:r>
      <w:r w:rsidRPr="00423598">
        <w:rPr>
          <w:i/>
          <w:lang w:val="en-GB"/>
        </w:rPr>
        <w:t>Lalić and Others</w:t>
      </w:r>
      <w:r w:rsidRPr="00423598">
        <w:rPr>
          <w:lang w:val="en-GB"/>
        </w:rPr>
        <w:t>, nos. 09/08 and others, opinion of 9 June 2012, § 22).</w:t>
      </w:r>
    </w:p>
    <w:p w:rsidR="003E3F85" w:rsidRPr="00423598" w:rsidRDefault="003E3F85" w:rsidP="003E3F85">
      <w:pPr>
        <w:pStyle w:val="ListParagraph"/>
        <w:rPr>
          <w:lang w:val="en-GB"/>
        </w:rPr>
      </w:pPr>
    </w:p>
    <w:p w:rsidR="003E3F85" w:rsidRPr="00423598" w:rsidRDefault="003E3F85" w:rsidP="003E3F85">
      <w:pPr>
        <w:numPr>
          <w:ilvl w:val="0"/>
          <w:numId w:val="2"/>
        </w:numPr>
        <w:tabs>
          <w:tab w:val="left" w:pos="709"/>
        </w:tabs>
        <w:suppressAutoHyphens/>
        <w:autoSpaceDE w:val="0"/>
        <w:jc w:val="both"/>
        <w:rPr>
          <w:lang w:val="en-GB"/>
        </w:rPr>
      </w:pPr>
      <w:bookmarkStart w:id="74" w:name="_Ref366241246"/>
      <w:r w:rsidRPr="00423598">
        <w:rPr>
          <w:lang w:val="en-GB"/>
        </w:rPr>
        <w:t xml:space="preserve">Concerning the applicability of Article 2 to situations of conflict or generalised violence, the Panel </w:t>
      </w:r>
      <w:r w:rsidRPr="00423598">
        <w:t>recalls</w:t>
      </w:r>
      <w:r w:rsidRPr="00423598">
        <w:rPr>
          <w:lang w:val="en-GB"/>
        </w:rPr>
        <w:t xml:space="preserve"> that the European Court of Human Rights has established the applicability of Article 2 to post-conflict situations, including in countries of the former Yugoslavia (see, among other examples, ECtHR, </w:t>
      </w:r>
      <w:r w:rsidRPr="00423598">
        <w:rPr>
          <w:i/>
          <w:lang w:val="en-GB"/>
        </w:rPr>
        <w:t>Palić v. Bosnia and Herzegovina,</w:t>
      </w:r>
      <w:r w:rsidRPr="00423598">
        <w:rPr>
          <w:lang w:val="en-GB"/>
        </w:rPr>
        <w:t xml:space="preserve"> cited in § </w:t>
      </w:r>
      <w:r w:rsidRPr="00423598">
        <w:fldChar w:fldCharType="begin"/>
      </w:r>
      <w:r w:rsidRPr="00423598">
        <w:instrText xml:space="preserve"> REF _Ref366239979 \r \h  \* MERGEFORMAT </w:instrText>
      </w:r>
      <w:r w:rsidRPr="00423598">
        <w:fldChar w:fldCharType="separate"/>
      </w:r>
      <w:r w:rsidR="00423598" w:rsidRPr="00423598">
        <w:rPr>
          <w:lang w:val="en-GB"/>
        </w:rPr>
        <w:t>73</w:t>
      </w:r>
      <w:r w:rsidRPr="00423598">
        <w:fldChar w:fldCharType="end"/>
      </w:r>
      <w:r w:rsidRPr="00423598">
        <w:rPr>
          <w:lang w:val="en-GB"/>
        </w:rPr>
        <w:t xml:space="preserve"> above, and ECtHR, </w:t>
      </w:r>
      <w:r w:rsidRPr="00423598">
        <w:rPr>
          <w:i/>
          <w:lang w:val="en-GB"/>
        </w:rPr>
        <w:t>Jularić v. Croatia</w:t>
      </w:r>
      <w:r w:rsidRPr="00423598">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423598">
        <w:rPr>
          <w:i/>
          <w:lang w:val="en-GB"/>
        </w:rPr>
        <w:t>Al-Skeini and Others v. the United Kingdom</w:t>
      </w:r>
      <w:r w:rsidRPr="00423598">
        <w:rPr>
          <w:lang w:val="en-GB"/>
        </w:rPr>
        <w:t xml:space="preserve">, cited in § </w:t>
      </w:r>
      <w:r w:rsidRPr="00423598">
        <w:fldChar w:fldCharType="begin"/>
      </w:r>
      <w:r w:rsidRPr="00423598">
        <w:instrText xml:space="preserve"> REF _Ref366240205 \r \h  \* MERGEFORMAT </w:instrText>
      </w:r>
      <w:r w:rsidRPr="00423598">
        <w:fldChar w:fldCharType="separate"/>
      </w:r>
      <w:r w:rsidR="00423598" w:rsidRPr="00423598">
        <w:rPr>
          <w:lang w:val="en-GB"/>
        </w:rPr>
        <w:t>77</w:t>
      </w:r>
      <w:r w:rsidRPr="00423598">
        <w:fldChar w:fldCharType="end"/>
      </w:r>
      <w:r w:rsidRPr="00423598">
        <w:rPr>
          <w:lang w:val="en-GB"/>
        </w:rPr>
        <w:t xml:space="preserve"> above, at § 164; see also ECtHR, </w:t>
      </w:r>
      <w:r w:rsidRPr="00423598">
        <w:rPr>
          <w:i/>
          <w:lang w:val="en-GB"/>
        </w:rPr>
        <w:t>Güleç v. Turkey</w:t>
      </w:r>
      <w:r w:rsidRPr="00423598">
        <w:rPr>
          <w:lang w:val="en-GB"/>
        </w:rPr>
        <w:t>, judgment of 27 July 1998, § 81, Reports 1998-IV; ECtHR,</w:t>
      </w:r>
      <w:r w:rsidRPr="00423598">
        <w:rPr>
          <w:i/>
          <w:lang w:val="en-GB"/>
        </w:rPr>
        <w:t xml:space="preserve"> Ergi v. Turkey</w:t>
      </w:r>
      <w:r w:rsidRPr="00423598">
        <w:rPr>
          <w:lang w:val="en-GB"/>
        </w:rPr>
        <w:t>, judgment of 28 July 1998, §§ 79 and 82, Reports 1998-IV; ECtHR,</w:t>
      </w:r>
      <w:r w:rsidRPr="00423598">
        <w:rPr>
          <w:i/>
          <w:lang w:val="en-GB"/>
        </w:rPr>
        <w:t xml:space="preserve"> Ahmet Özkan and Others v. Turkey</w:t>
      </w:r>
      <w:r w:rsidRPr="00423598">
        <w:rPr>
          <w:lang w:val="en-GB"/>
        </w:rPr>
        <w:t xml:space="preserve">, cited in § </w:t>
      </w:r>
      <w:r w:rsidRPr="00423598">
        <w:fldChar w:fldCharType="begin"/>
      </w:r>
      <w:r w:rsidRPr="00423598">
        <w:instrText xml:space="preserve"> REF _Ref366240125 \r \h  \* MERGEFORMAT </w:instrText>
      </w:r>
      <w:r w:rsidRPr="00423598">
        <w:fldChar w:fldCharType="separate"/>
      </w:r>
      <w:r w:rsidR="00423598" w:rsidRPr="00423598">
        <w:rPr>
          <w:lang w:val="en-GB"/>
        </w:rPr>
        <w:t>72</w:t>
      </w:r>
      <w:r w:rsidRPr="00423598">
        <w:fldChar w:fldCharType="end"/>
      </w:r>
      <w:r w:rsidRPr="00423598">
        <w:rPr>
          <w:lang w:val="en-GB"/>
        </w:rPr>
        <w:t xml:space="preserve"> above, at §§ 85-90, 309-320 and 326-330;</w:t>
      </w:r>
      <w:r w:rsidRPr="00423598">
        <w:rPr>
          <w:i/>
          <w:lang w:val="en-GB"/>
        </w:rPr>
        <w:t xml:space="preserve"> </w:t>
      </w:r>
      <w:r w:rsidR="00B41BE6" w:rsidRPr="00423598">
        <w:rPr>
          <w:lang w:val="en-GB"/>
        </w:rPr>
        <w:t xml:space="preserve">ECtHR, </w:t>
      </w:r>
      <w:r w:rsidRPr="00423598">
        <w:rPr>
          <w:i/>
          <w:lang w:val="en-GB"/>
        </w:rPr>
        <w:t>Isayeva v. Russia</w:t>
      </w:r>
      <w:r w:rsidRPr="00423598">
        <w:rPr>
          <w:lang w:val="en-GB"/>
        </w:rPr>
        <w:t xml:space="preserve">, cited in § </w:t>
      </w:r>
      <w:r w:rsidRPr="00423598">
        <w:fldChar w:fldCharType="begin"/>
      </w:r>
      <w:r w:rsidRPr="00423598">
        <w:instrText xml:space="preserve"> REF _Ref366240125 \r \h  \* MERGEFORMAT </w:instrText>
      </w:r>
      <w:r w:rsidRPr="00423598">
        <w:fldChar w:fldCharType="separate"/>
      </w:r>
      <w:r w:rsidR="00423598" w:rsidRPr="00423598">
        <w:rPr>
          <w:lang w:val="en-GB"/>
        </w:rPr>
        <w:t>72</w:t>
      </w:r>
      <w:r w:rsidRPr="00423598">
        <w:fldChar w:fldCharType="end"/>
      </w:r>
      <w:r w:rsidRPr="00423598">
        <w:rPr>
          <w:lang w:val="en-GB"/>
        </w:rPr>
        <w:t xml:space="preserve"> above, at §§ 180 and 210; ECtHR, </w:t>
      </w:r>
      <w:r w:rsidRPr="00423598">
        <w:rPr>
          <w:i/>
          <w:lang w:val="en-GB"/>
        </w:rPr>
        <w:t>Kanlibaş v. Turkey</w:t>
      </w:r>
      <w:r w:rsidRPr="00423598">
        <w:rPr>
          <w:lang w:val="en-GB"/>
        </w:rPr>
        <w:t>, no. 32444/96, judgment of 8 December 2005, §§ 39-51).</w:t>
      </w:r>
      <w:bookmarkEnd w:id="74"/>
      <w:r w:rsidRPr="00423598">
        <w:rPr>
          <w:lang w:val="en-GB"/>
        </w:rPr>
        <w:t xml:space="preserve"> </w:t>
      </w:r>
    </w:p>
    <w:p w:rsidR="003E3F85" w:rsidRPr="00423598" w:rsidRDefault="003E3F85" w:rsidP="003E3F85">
      <w:pPr>
        <w:pStyle w:val="ListParagraph"/>
        <w:suppressAutoHyphens w:val="0"/>
        <w:ind w:left="567"/>
        <w:contextualSpacing/>
        <w:jc w:val="both"/>
        <w:rPr>
          <w:lang w:val="en-GB" w:eastAsia="en-US"/>
        </w:rPr>
      </w:pPr>
    </w:p>
    <w:p w:rsidR="003E3F85" w:rsidRPr="00423598" w:rsidRDefault="003E3F85" w:rsidP="003E3F85">
      <w:pPr>
        <w:numPr>
          <w:ilvl w:val="0"/>
          <w:numId w:val="2"/>
        </w:numPr>
        <w:tabs>
          <w:tab w:val="left" w:pos="709"/>
        </w:tabs>
        <w:suppressAutoHyphens/>
        <w:autoSpaceDE w:val="0"/>
        <w:jc w:val="both"/>
        <w:rPr>
          <w:lang w:val="en-GB"/>
        </w:rPr>
      </w:pPr>
      <w:bookmarkStart w:id="75" w:name="_Ref366241459"/>
      <w:r w:rsidRPr="00423598">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423598">
        <w:t>may</w:t>
      </w:r>
      <w:r w:rsidRPr="00423598">
        <w:rPr>
          <w:lang w:val="en-GB"/>
        </w:rPr>
        <w:t xml:space="preserve"> compel the use of less effective measures of investigation or may cause an investigation to be delayed” (see, ECtHR [GC], </w:t>
      </w:r>
      <w:r w:rsidRPr="00423598">
        <w:rPr>
          <w:i/>
          <w:lang w:val="en-GB"/>
        </w:rPr>
        <w:t xml:space="preserve">Al-Skeini and Others v. the United Kingdom, </w:t>
      </w:r>
      <w:r w:rsidRPr="00423598">
        <w:rPr>
          <w:lang w:val="en-GB"/>
        </w:rPr>
        <w:t>cited above, at §164;</w:t>
      </w:r>
      <w:r w:rsidRPr="00423598">
        <w:rPr>
          <w:i/>
          <w:lang w:val="en-GB"/>
        </w:rPr>
        <w:t xml:space="preserve"> </w:t>
      </w:r>
      <w:r w:rsidRPr="00423598">
        <w:rPr>
          <w:lang w:val="en-GB"/>
        </w:rPr>
        <w:t>ECtHR,</w:t>
      </w:r>
      <w:r w:rsidRPr="00423598">
        <w:rPr>
          <w:i/>
          <w:lang w:val="en-GB"/>
        </w:rPr>
        <w:t xml:space="preserve"> Bazorkina v. Russia</w:t>
      </w:r>
      <w:r w:rsidRPr="00423598">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423598">
        <w:rPr>
          <w:i/>
          <w:lang w:val="en-GB"/>
        </w:rPr>
        <w:t>Kaya v. Turkey</w:t>
      </w:r>
      <w:r w:rsidRPr="00423598">
        <w:rPr>
          <w:lang w:val="en-GB"/>
        </w:rPr>
        <w:t xml:space="preserve">, cited in § </w:t>
      </w:r>
      <w:r w:rsidRPr="00423598">
        <w:fldChar w:fldCharType="begin"/>
      </w:r>
      <w:r w:rsidRPr="00423598">
        <w:instrText xml:space="preserve"> REF _Ref366239860 \r \h  \* MERGEFORMAT </w:instrText>
      </w:r>
      <w:r w:rsidRPr="00423598">
        <w:fldChar w:fldCharType="separate"/>
      </w:r>
      <w:r w:rsidR="00423598" w:rsidRPr="00423598">
        <w:rPr>
          <w:lang w:val="en-GB"/>
        </w:rPr>
        <w:t>70</w:t>
      </w:r>
      <w:r w:rsidRPr="00423598">
        <w:fldChar w:fldCharType="end"/>
      </w:r>
      <w:r w:rsidRPr="00423598">
        <w:rPr>
          <w:lang w:val="en-GB"/>
        </w:rPr>
        <w:t xml:space="preserve"> above, at §§ 86</w:t>
      </w:r>
      <w:r w:rsidRPr="00423598">
        <w:rPr>
          <w:lang w:val="en-GB"/>
        </w:rPr>
        <w:noBreakHyphen/>
        <w:t xml:space="preserve">92; ECtHR, </w:t>
      </w:r>
      <w:r w:rsidRPr="00423598">
        <w:rPr>
          <w:i/>
          <w:lang w:val="en-GB"/>
        </w:rPr>
        <w:t xml:space="preserve">Ergi v Turkey, </w:t>
      </w:r>
      <w:r w:rsidRPr="00423598">
        <w:rPr>
          <w:lang w:val="en-GB"/>
        </w:rPr>
        <w:t xml:space="preserve">cited above, at §§ 82-85; ECtHR [GC], </w:t>
      </w:r>
      <w:r w:rsidRPr="00423598">
        <w:rPr>
          <w:i/>
          <w:lang w:val="en-GB"/>
        </w:rPr>
        <w:t>Tanrıkulu v. Turkey</w:t>
      </w:r>
      <w:r w:rsidRPr="00423598">
        <w:rPr>
          <w:lang w:val="en-GB"/>
        </w:rPr>
        <w:t xml:space="preserve">, no. 23763/94, judgment of 8 July 1999, §§ 101-110, ECHR 1999-IV; ECtHR, </w:t>
      </w:r>
      <w:r w:rsidRPr="00423598">
        <w:rPr>
          <w:i/>
          <w:lang w:val="en-GB"/>
        </w:rPr>
        <w:t>Khashiyev and Akayeva v. Russia</w:t>
      </w:r>
      <w:r w:rsidRPr="00423598">
        <w:rPr>
          <w:lang w:val="en-GB"/>
        </w:rPr>
        <w:t xml:space="preserve">, nos. 57942/00 and 57945/00, judgment of 24 February 2005, §§ 156-166; ECtHR, </w:t>
      </w:r>
      <w:r w:rsidRPr="00423598">
        <w:rPr>
          <w:i/>
          <w:lang w:val="en-GB"/>
        </w:rPr>
        <w:t xml:space="preserve">Isayeva v. </w:t>
      </w:r>
      <w:r w:rsidRPr="00423598">
        <w:rPr>
          <w:i/>
          <w:lang w:val="en-GB"/>
        </w:rPr>
        <w:lastRenderedPageBreak/>
        <w:t>Russia</w:t>
      </w:r>
      <w:r w:rsidRPr="00423598">
        <w:rPr>
          <w:lang w:val="en-GB"/>
        </w:rPr>
        <w:t>, cited above, at §§ 215</w:t>
      </w:r>
      <w:r w:rsidRPr="00423598">
        <w:rPr>
          <w:lang w:val="en-GB"/>
        </w:rPr>
        <w:noBreakHyphen/>
        <w:t xml:space="preserve">224; ECtHR, </w:t>
      </w:r>
      <w:r w:rsidRPr="00423598">
        <w:rPr>
          <w:i/>
          <w:lang w:val="en-GB"/>
        </w:rPr>
        <w:t>Musayev and Others v. Russia</w:t>
      </w:r>
      <w:r w:rsidRPr="00423598">
        <w:rPr>
          <w:lang w:val="en-GB"/>
        </w:rPr>
        <w:t>, nos. 57941/00 and others, judgment of 26 July 2007, §§ 158-165).</w:t>
      </w:r>
      <w:bookmarkEnd w:id="75"/>
      <w:r w:rsidRPr="00423598">
        <w:rPr>
          <w:lang w:val="en-GB"/>
        </w:rPr>
        <w:t xml:space="preserve"> </w:t>
      </w:r>
    </w:p>
    <w:p w:rsidR="003E3F85" w:rsidRPr="00423598" w:rsidRDefault="003E3F85" w:rsidP="003E3F85">
      <w:pPr>
        <w:pStyle w:val="ListParagraph"/>
        <w:suppressAutoHyphens w:val="0"/>
        <w:ind w:left="567"/>
        <w:contextualSpacing/>
        <w:jc w:val="both"/>
        <w:rPr>
          <w:lang w:val="en-GB" w:eastAsia="en-US"/>
        </w:rPr>
      </w:pPr>
    </w:p>
    <w:p w:rsidR="003E3F85" w:rsidRPr="00423598" w:rsidRDefault="003E3F85" w:rsidP="003E3F85">
      <w:pPr>
        <w:numPr>
          <w:ilvl w:val="0"/>
          <w:numId w:val="2"/>
        </w:numPr>
        <w:tabs>
          <w:tab w:val="left" w:pos="709"/>
        </w:tabs>
        <w:suppressAutoHyphens/>
        <w:autoSpaceDE w:val="0"/>
        <w:jc w:val="both"/>
        <w:rPr>
          <w:lang w:val="en-GB"/>
        </w:rPr>
      </w:pPr>
      <w:r w:rsidRPr="00423598">
        <w:rPr>
          <w:lang w:val="en-GB"/>
        </w:rPr>
        <w:t xml:space="preserve">Similarly, the HRC has held that the right to life, including its procedural guarantees, shall be </w:t>
      </w:r>
      <w:r w:rsidRPr="00423598">
        <w:t>considered</w:t>
      </w:r>
      <w:r w:rsidRPr="00423598">
        <w:rPr>
          <w:lang w:val="en-GB"/>
        </w:rPr>
        <w:t xml:space="preserve"> as the supreme right from which no derogation is permitted even in time of public emergency which threatens the life of the nation (see, HRC, General Comment No. 6, cited in § </w:t>
      </w:r>
      <w:r w:rsidRPr="00423598">
        <w:fldChar w:fldCharType="begin"/>
      </w:r>
      <w:r w:rsidRPr="00423598">
        <w:instrText xml:space="preserve"> REF _Ref366241114 \r \h  \* MERGEFORMAT </w:instrText>
      </w:r>
      <w:r w:rsidRPr="00423598">
        <w:fldChar w:fldCharType="separate"/>
      </w:r>
      <w:r w:rsidR="00423598" w:rsidRPr="00423598">
        <w:rPr>
          <w:lang w:val="en-GB"/>
        </w:rPr>
        <w:t>64</w:t>
      </w:r>
      <w:r w:rsidRPr="00423598">
        <w:fldChar w:fldCharType="end"/>
      </w:r>
      <w:r w:rsidRPr="00423598">
        <w:rPr>
          <w:lang w:val="en-GB"/>
        </w:rPr>
        <w:t xml:space="preserve"> above, at § 1; HRC, </w:t>
      </w:r>
      <w:r w:rsidRPr="00423598">
        <w:rPr>
          <w:i/>
          <w:lang w:val="en-GB"/>
        </w:rPr>
        <w:t>Abubakar Amirov and Aïzan Amirova v. Russi</w:t>
      </w:r>
      <w:r w:rsidRPr="00423598">
        <w:rPr>
          <w:lang w:val="en-GB"/>
        </w:rPr>
        <w:t>a</w:t>
      </w:r>
      <w:r w:rsidRPr="00423598">
        <w:rPr>
          <w:i/>
          <w:lang w:val="en-GB"/>
        </w:rPr>
        <w:t>n Federation</w:t>
      </w:r>
      <w:r w:rsidRPr="00423598">
        <w:rPr>
          <w:lang w:val="en-GB"/>
        </w:rPr>
        <w:t xml:space="preserve">, communication no. 1447/2006, views of 22 April 2009, § 11.2, </w:t>
      </w:r>
      <w:r w:rsidRPr="00423598">
        <w:rPr>
          <w:bCs/>
          <w:lang w:val="en-GB"/>
        </w:rPr>
        <w:t>CCPR/C/95/D/1447/2006</w:t>
      </w:r>
      <w:r w:rsidRPr="00423598">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76" w:name="_Ref343611663"/>
    </w:p>
    <w:p w:rsidR="003E3F85" w:rsidRPr="00423598" w:rsidRDefault="003E3F85" w:rsidP="003E3F85">
      <w:pPr>
        <w:pStyle w:val="ListParagraph"/>
        <w:rPr>
          <w:lang w:val="en-GB"/>
        </w:rPr>
      </w:pPr>
    </w:p>
    <w:p w:rsidR="003E3F85" w:rsidRPr="00423598" w:rsidRDefault="003E3F85" w:rsidP="003E3F85">
      <w:pPr>
        <w:numPr>
          <w:ilvl w:val="0"/>
          <w:numId w:val="2"/>
        </w:numPr>
        <w:tabs>
          <w:tab w:val="left" w:pos="709"/>
        </w:tabs>
        <w:suppressAutoHyphens/>
        <w:autoSpaceDE w:val="0"/>
        <w:jc w:val="both"/>
        <w:rPr>
          <w:lang w:val="en-GB"/>
        </w:rPr>
      </w:pPr>
      <w:r w:rsidRPr="00423598">
        <w:rPr>
          <w:lang w:val="en-GB"/>
        </w:rPr>
        <w:t xml:space="preserve">The Panel appreciates the difficulties encountered by UNMIK during the first phase of its </w:t>
      </w:r>
      <w:r w:rsidRPr="00423598">
        <w:t>deployment</w:t>
      </w:r>
      <w:r w:rsidRPr="00423598">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423598">
        <w:rPr>
          <w:i/>
          <w:lang w:val="en-GB"/>
        </w:rPr>
        <w:t>mutatis mutandis</w:t>
      </w:r>
      <w:r w:rsidRPr="00423598">
        <w:rPr>
          <w:lang w:val="en-GB"/>
        </w:rPr>
        <w:t xml:space="preserve">, ECtHR, </w:t>
      </w:r>
      <w:r w:rsidRPr="00423598">
        <w:rPr>
          <w:i/>
          <w:lang w:val="en-GB"/>
        </w:rPr>
        <w:t>R.R. and Others v. Hungary</w:t>
      </w:r>
      <w:r w:rsidRPr="00423598">
        <w:rPr>
          <w:lang w:val="en-GB"/>
        </w:rPr>
        <w:t xml:space="preserve">, no. 19400/11, judgment of 4 December 2012, §§ 28-32), as well as to consider the special vulnerability of displaced persons in post-conflict situations (see ECtHR [GC], </w:t>
      </w:r>
      <w:r w:rsidRPr="00423598">
        <w:rPr>
          <w:i/>
          <w:lang w:val="en-GB"/>
        </w:rPr>
        <w:t xml:space="preserve">Sargsyan v. Azerbaijan, </w:t>
      </w:r>
      <w:r w:rsidRPr="00423598">
        <w:rPr>
          <w:lang w:val="en-GB"/>
        </w:rPr>
        <w:t xml:space="preserve">no. 40167/06, decision of 14 December 2011, § 145; and ECtHR [GC], </w:t>
      </w:r>
      <w:r w:rsidRPr="00423598">
        <w:rPr>
          <w:i/>
          <w:lang w:val="en-GB"/>
        </w:rPr>
        <w:t>Chiragov and Others v. Armenia</w:t>
      </w:r>
      <w:r w:rsidRPr="00423598">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423598">
        <w:fldChar w:fldCharType="begin"/>
      </w:r>
      <w:r w:rsidRPr="00423598">
        <w:instrText xml:space="preserve"> REF _Ref346123767 \r \h  \* MERGEFORMAT </w:instrText>
      </w:r>
      <w:r w:rsidRPr="00423598">
        <w:fldChar w:fldCharType="separate"/>
      </w:r>
      <w:r w:rsidR="00423598" w:rsidRPr="00423598">
        <w:rPr>
          <w:lang w:val="en-GB"/>
        </w:rPr>
        <w:t>15</w:t>
      </w:r>
      <w:r w:rsidRPr="00423598">
        <w:fldChar w:fldCharType="end"/>
      </w:r>
      <w:r w:rsidRPr="00423598">
        <w:rPr>
          <w:lang w:val="en-GB"/>
        </w:rPr>
        <w:t xml:space="preserve"> above).</w:t>
      </w:r>
      <w:bookmarkEnd w:id="76"/>
    </w:p>
    <w:p w:rsidR="003E3F85" w:rsidRPr="00423598" w:rsidRDefault="003E3F85" w:rsidP="003E3F85">
      <w:pPr>
        <w:pStyle w:val="ListParagraph"/>
        <w:suppressAutoHyphens w:val="0"/>
        <w:ind w:left="567"/>
        <w:contextualSpacing/>
        <w:jc w:val="both"/>
        <w:rPr>
          <w:lang w:val="en-GB" w:eastAsia="en-US"/>
        </w:rPr>
      </w:pPr>
    </w:p>
    <w:p w:rsidR="003E3F85" w:rsidRPr="00423598" w:rsidRDefault="003E3F85" w:rsidP="003E3F85">
      <w:pPr>
        <w:numPr>
          <w:ilvl w:val="0"/>
          <w:numId w:val="2"/>
        </w:numPr>
        <w:tabs>
          <w:tab w:val="left" w:pos="709"/>
        </w:tabs>
        <w:suppressAutoHyphens/>
        <w:autoSpaceDE w:val="0"/>
        <w:jc w:val="both"/>
        <w:rPr>
          <w:rStyle w:val="sb8d990e2"/>
          <w:lang w:val="en-GB"/>
        </w:rPr>
      </w:pPr>
      <w:bookmarkStart w:id="77" w:name="_Ref366163789"/>
      <w:r w:rsidRPr="00423598">
        <w:rPr>
          <w:rStyle w:val="sb8d990e2"/>
          <w:lang w:val="en-GB"/>
        </w:rPr>
        <w:t xml:space="preserve">The Panel </w:t>
      </w:r>
      <w:r w:rsidRPr="00423598">
        <w:t>further</w:t>
      </w:r>
      <w:r w:rsidRPr="00423598">
        <w:rPr>
          <w:rStyle w:val="sb8d990e2"/>
          <w:lang w:val="en-GB"/>
        </w:rPr>
        <w:t xml:space="preserve"> notes that its task is not to review relevant practices or alleged obstacles to the conduct of effective investigations </w:t>
      </w:r>
      <w:r w:rsidRPr="00423598">
        <w:rPr>
          <w:rStyle w:val="s6b621b36"/>
          <w:i/>
          <w:lang w:val="en-GB"/>
        </w:rPr>
        <w:t xml:space="preserve">in </w:t>
      </w:r>
      <w:r w:rsidRPr="00423598">
        <w:rPr>
          <w:rStyle w:val="wordhighlighted"/>
          <w:i/>
          <w:lang w:val="en-GB"/>
        </w:rPr>
        <w:t>abstracto</w:t>
      </w:r>
      <w:r w:rsidRPr="00423598">
        <w:rPr>
          <w:rStyle w:val="sb8d990e2"/>
          <w:lang w:val="en-GB"/>
        </w:rPr>
        <w:t>, but only in relation to their specific </w:t>
      </w:r>
      <w:r w:rsidRPr="00423598">
        <w:t>application</w:t>
      </w:r>
      <w:r w:rsidRPr="00423598">
        <w:rPr>
          <w:rStyle w:val="sb8d990e2"/>
          <w:lang w:val="en-GB"/>
        </w:rPr>
        <w:t xml:space="preserve"> to the particular circumstances of a situation subject of a complaint before it (see, ECtHR, </w:t>
      </w:r>
      <w:r w:rsidRPr="00423598">
        <w:rPr>
          <w:rStyle w:val="s6b621b36"/>
          <w:i/>
          <w:lang w:val="en-GB"/>
        </w:rPr>
        <w:t>Brogan and Others v. the United Kingdom</w:t>
      </w:r>
      <w:r w:rsidRPr="00423598">
        <w:rPr>
          <w:rStyle w:val="sb8d990e2"/>
          <w:lang w:val="en-GB"/>
        </w:rPr>
        <w:t xml:space="preserve">, </w:t>
      </w:r>
      <w:r w:rsidRPr="00423598">
        <w:rPr>
          <w:rStyle w:val="column01"/>
          <w:lang w:val="en-GB"/>
        </w:rPr>
        <w:t>judgment of</w:t>
      </w:r>
      <w:r w:rsidRPr="00423598">
        <w:rPr>
          <w:rStyle w:val="sb8d990e2"/>
          <w:lang w:val="en-GB"/>
        </w:rPr>
        <w:t xml:space="preserve"> 29 November 1988,</w:t>
      </w:r>
      <w:r w:rsidRPr="00423598">
        <w:rPr>
          <w:lang w:val="en-GB"/>
        </w:rPr>
        <w:t xml:space="preserve"> </w:t>
      </w:r>
      <w:r w:rsidRPr="00423598">
        <w:rPr>
          <w:rStyle w:val="sb8d990e2"/>
          <w:lang w:val="en-GB"/>
        </w:rPr>
        <w:t xml:space="preserve">§ 53, Series A no. 145-B). </w:t>
      </w:r>
      <w:r w:rsidRPr="00423598">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423598">
        <w:rPr>
          <w:rStyle w:val="sb8d990e2"/>
          <w:lang w:val="en-GB"/>
        </w:rPr>
        <w:t>For these reasons, the Panel considers that it will establish with regard to each case if all reasonable steps were taken to conduct an effective investigation as prescribed by Article 2,</w:t>
      </w:r>
      <w:r w:rsidRPr="00423598">
        <w:rPr>
          <w:lang w:val="en-GB"/>
        </w:rPr>
        <w:t xml:space="preserve"> </w:t>
      </w:r>
      <w:r w:rsidRPr="00423598">
        <w:rPr>
          <w:rStyle w:val="sb8d990e2"/>
          <w:lang w:val="en-GB"/>
        </w:rPr>
        <w:t>having regard to the realities of the investigative work in Kosovo.</w:t>
      </w:r>
      <w:bookmarkEnd w:id="77"/>
    </w:p>
    <w:p w:rsidR="003E3F85" w:rsidRPr="00423598" w:rsidRDefault="003E3F85" w:rsidP="003E3F85">
      <w:pPr>
        <w:pStyle w:val="ListParagraph"/>
        <w:rPr>
          <w:rStyle w:val="sb8d990e2"/>
          <w:lang w:val="en-GB" w:eastAsia="en-US"/>
        </w:rPr>
      </w:pPr>
    </w:p>
    <w:p w:rsidR="003E3F85" w:rsidRPr="00423598" w:rsidRDefault="003E3F85" w:rsidP="00B41BE6">
      <w:pPr>
        <w:numPr>
          <w:ilvl w:val="0"/>
          <w:numId w:val="2"/>
        </w:numPr>
        <w:tabs>
          <w:tab w:val="left" w:pos="709"/>
        </w:tabs>
        <w:suppressAutoHyphens/>
        <w:autoSpaceDE w:val="0"/>
        <w:jc w:val="both"/>
        <w:rPr>
          <w:lang w:eastAsia="nl-NL"/>
        </w:rPr>
      </w:pPr>
      <w:r w:rsidRPr="00423598">
        <w:lastRenderedPageBreak/>
        <w:t xml:space="preserve">Lastly, in response to the SRSG’s objection that Article 2 must be interpreted in a way which </w:t>
      </w:r>
      <w:r w:rsidRPr="00423598">
        <w:rPr>
          <w:lang w:val="en-GB"/>
        </w:rPr>
        <w:t>does</w:t>
      </w:r>
      <w:r w:rsidRPr="00423598">
        <w:t xml:space="preserve"> not </w:t>
      </w:r>
      <w:r w:rsidRPr="00423598">
        <w:rPr>
          <w:lang w:val="en-GB"/>
        </w:rPr>
        <w:t>impose</w:t>
      </w:r>
      <w:r w:rsidRPr="00423598">
        <w:t xml:space="preserve"> an impossible or disproportionate burden on the authorities, e</w:t>
      </w:r>
      <w:r w:rsidR="00622236" w:rsidRPr="00423598">
        <w:t>ither in the context of policin</w:t>
      </w:r>
      <w:r w:rsidRPr="00423598">
        <w:rPr>
          <w:lang w:val="en-GB"/>
        </w:rPr>
        <w:t>g</w:t>
      </w:r>
      <w:r w:rsidRPr="00423598">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423598">
        <w:rPr>
          <w:i/>
        </w:rPr>
        <w:t>Palić v. Bosnia and Herzegovina,</w:t>
      </w:r>
      <w:r w:rsidRPr="00423598">
        <w:t xml:space="preserve"> cited in § </w:t>
      </w:r>
      <w:r w:rsidRPr="00423598">
        <w:fldChar w:fldCharType="begin"/>
      </w:r>
      <w:r w:rsidRPr="00423598">
        <w:instrText xml:space="preserve"> REF _Ref366239979 \r \h  \* MERGEFORMAT </w:instrText>
      </w:r>
      <w:r w:rsidRPr="00423598">
        <w:fldChar w:fldCharType="separate"/>
      </w:r>
      <w:r w:rsidR="00423598">
        <w:t>73</w:t>
      </w:r>
      <w:r w:rsidRPr="00423598">
        <w:fldChar w:fldCharType="end"/>
      </w:r>
      <w:r w:rsidRPr="00423598">
        <w:t xml:space="preserve"> above, at § 70; </w:t>
      </w:r>
      <w:r w:rsidR="00B41BE6" w:rsidRPr="00423598">
        <w:t xml:space="preserve">ECtHR, </w:t>
      </w:r>
      <w:r w:rsidRPr="00423598">
        <w:rPr>
          <w:i/>
        </w:rPr>
        <w:t>Brecknell v. The United Kingdom,</w:t>
      </w:r>
      <w:r w:rsidRPr="00423598">
        <w:t xml:space="preserve"> no. 32457/04, judgment of 27 November 2007, § 62).</w:t>
      </w:r>
    </w:p>
    <w:p w:rsidR="003E3F85" w:rsidRPr="00423598" w:rsidRDefault="003E3F85" w:rsidP="003E3F85">
      <w:pPr>
        <w:pStyle w:val="ListParagraph"/>
        <w:rPr>
          <w:rStyle w:val="sb8d990e2"/>
          <w:lang w:eastAsia="nl-NL"/>
        </w:rPr>
      </w:pPr>
    </w:p>
    <w:p w:rsidR="003E3F85" w:rsidRPr="00423598" w:rsidRDefault="003E3F85" w:rsidP="003E3F85">
      <w:pPr>
        <w:pStyle w:val="ListParagraph"/>
        <w:numPr>
          <w:ilvl w:val="0"/>
          <w:numId w:val="7"/>
        </w:numPr>
        <w:contextualSpacing/>
        <w:jc w:val="both"/>
        <w:rPr>
          <w:i/>
          <w:lang w:val="en-GB"/>
        </w:rPr>
      </w:pPr>
      <w:r w:rsidRPr="00423598">
        <w:rPr>
          <w:i/>
          <w:lang w:val="en-GB"/>
        </w:rPr>
        <w:t>Compliance with Article 2 in the present case</w:t>
      </w:r>
    </w:p>
    <w:p w:rsidR="003E3F85" w:rsidRPr="00423598" w:rsidRDefault="003E3F85" w:rsidP="003E3F85">
      <w:pPr>
        <w:rPr>
          <w:lang w:val="en-GB"/>
        </w:rPr>
      </w:pPr>
    </w:p>
    <w:p w:rsidR="004F45E5" w:rsidRPr="00423598" w:rsidRDefault="004F45E5" w:rsidP="004F45E5">
      <w:pPr>
        <w:pStyle w:val="ListParagraph"/>
        <w:numPr>
          <w:ilvl w:val="0"/>
          <w:numId w:val="2"/>
        </w:numPr>
        <w:suppressAutoHyphens w:val="0"/>
        <w:jc w:val="both"/>
      </w:pPr>
      <w:r w:rsidRPr="00423598">
        <w:rPr>
          <w:lang w:val="en-GB"/>
        </w:rPr>
        <w:t>T</w:t>
      </w:r>
      <w:r w:rsidRPr="00423598">
        <w:t>he SRSG states that “[t]he investigative files</w:t>
      </w:r>
      <w:r w:rsidR="00954A3E" w:rsidRPr="00423598">
        <w:t xml:space="preserve"> made available so far, </w:t>
      </w:r>
      <w:r w:rsidRPr="00423598">
        <w:t xml:space="preserve">do not provide clear evidence with respect to the second aspect of the procedural requirement of Article 2, ECHR, i.e. the question whether UNMIK complied with its obligation to conduct an investigation capable of determining whether there was an unlawful disappearance and leading to the identification and punishment of those responsible for the disappearance and the death of </w:t>
      </w:r>
      <w:r w:rsidRPr="00423598">
        <w:rPr>
          <w:lang w:val="en-GB"/>
        </w:rPr>
        <w:t>Mr Rade Budimir</w:t>
      </w:r>
      <w:r w:rsidRPr="00423598">
        <w:t xml:space="preserve">” (see § </w:t>
      </w:r>
      <w:r w:rsidRPr="00423598">
        <w:fldChar w:fldCharType="begin"/>
      </w:r>
      <w:r w:rsidRPr="00423598">
        <w:instrText xml:space="preserve"> REF _Ref400968451 \r \h  \* MERGEFORMAT </w:instrText>
      </w:r>
      <w:r w:rsidRPr="00423598">
        <w:fldChar w:fldCharType="separate"/>
      </w:r>
      <w:r w:rsidR="00423598">
        <w:t>55</w:t>
      </w:r>
      <w:r w:rsidRPr="00423598">
        <w:fldChar w:fldCharType="end"/>
      </w:r>
      <w:r w:rsidRPr="00423598">
        <w:t xml:space="preserve"> above). </w:t>
      </w:r>
    </w:p>
    <w:p w:rsidR="004F45E5" w:rsidRPr="00423598" w:rsidRDefault="004F45E5" w:rsidP="004F45E5">
      <w:pPr>
        <w:pStyle w:val="ListParagraph"/>
        <w:suppressAutoHyphens w:val="0"/>
        <w:ind w:left="360"/>
        <w:jc w:val="both"/>
      </w:pPr>
    </w:p>
    <w:p w:rsidR="004F45E5" w:rsidRPr="00423598" w:rsidRDefault="004F45E5" w:rsidP="004F45E5">
      <w:pPr>
        <w:numPr>
          <w:ilvl w:val="0"/>
          <w:numId w:val="2"/>
        </w:numPr>
        <w:suppressAutoHyphens/>
        <w:autoSpaceDE w:val="0"/>
        <w:jc w:val="both"/>
      </w:pPr>
      <w:r w:rsidRPr="00423598">
        <w:t xml:space="preserve">In this regard, the Panel first addresses the issue of the burden of proof. At the admissibility stage, the Panel was satisfied that the complainants’ allegations were not groundless, thus it accepted the existence of a </w:t>
      </w:r>
      <w:r w:rsidRPr="00423598">
        <w:rPr>
          <w:i/>
        </w:rPr>
        <w:t>prima facie</w:t>
      </w:r>
      <w:r w:rsidRPr="00423598">
        <w:t xml:space="preserve"> case: that </w:t>
      </w:r>
      <w:r w:rsidRPr="00423598">
        <w:rPr>
          <w:lang w:val="en-GB"/>
        </w:rPr>
        <w:t xml:space="preserve">Mr Rade Budimir </w:t>
      </w:r>
      <w:r w:rsidRPr="00423598">
        <w:t xml:space="preserve">disappeared in life threatening circumstances and that UNMIK had become aware of his abduction by February 2000 (see § </w:t>
      </w:r>
      <w:r w:rsidRPr="00423598">
        <w:fldChar w:fldCharType="begin"/>
      </w:r>
      <w:r w:rsidRPr="00423598">
        <w:instrText xml:space="preserve"> REF _Ref400968564 \r \h  \* MERGEFORMAT </w:instrText>
      </w:r>
      <w:r w:rsidRPr="00423598">
        <w:fldChar w:fldCharType="separate"/>
      </w:r>
      <w:r w:rsidR="00423598">
        <w:t>27</w:t>
      </w:r>
      <w:r w:rsidRPr="00423598">
        <w:fldChar w:fldCharType="end"/>
      </w:r>
      <w:r w:rsidRPr="00423598">
        <w:t xml:space="preserve"> above).</w:t>
      </w:r>
    </w:p>
    <w:p w:rsidR="004F45E5" w:rsidRPr="00423598" w:rsidRDefault="004F45E5" w:rsidP="004F45E5">
      <w:pPr>
        <w:tabs>
          <w:tab w:val="left" w:pos="360"/>
        </w:tabs>
        <w:suppressAutoHyphens/>
        <w:autoSpaceDE w:val="0"/>
        <w:ind w:left="360"/>
        <w:jc w:val="both"/>
      </w:pPr>
    </w:p>
    <w:p w:rsidR="004F45E5" w:rsidRPr="00423598" w:rsidRDefault="004F45E5" w:rsidP="004F45E5">
      <w:pPr>
        <w:numPr>
          <w:ilvl w:val="0"/>
          <w:numId w:val="2"/>
        </w:numPr>
        <w:tabs>
          <w:tab w:val="left" w:pos="360"/>
        </w:tabs>
        <w:suppressAutoHyphens/>
        <w:autoSpaceDE w:val="0"/>
        <w:jc w:val="both"/>
      </w:pPr>
      <w:r w:rsidRPr="00423598">
        <w:t xml:space="preserve">Accordingly, applying the principles discussed above (see §§ </w:t>
      </w:r>
      <w:r w:rsidRPr="00423598">
        <w:fldChar w:fldCharType="begin"/>
      </w:r>
      <w:r w:rsidRPr="00423598">
        <w:instrText xml:space="preserve"> REF _Ref400788371 \r \h  \* MERGEFORMAT </w:instrText>
      </w:r>
      <w:r w:rsidRPr="00423598">
        <w:fldChar w:fldCharType="separate"/>
      </w:r>
      <w:r w:rsidR="00423598">
        <w:t>65</w:t>
      </w:r>
      <w:r w:rsidRPr="00423598">
        <w:fldChar w:fldCharType="end"/>
      </w:r>
      <w:r w:rsidRPr="00423598">
        <w:t>-</w:t>
      </w:r>
      <w:r w:rsidRPr="00423598">
        <w:fldChar w:fldCharType="begin"/>
      </w:r>
      <w:r w:rsidRPr="00423598">
        <w:instrText xml:space="preserve"> REF _Ref400788384 \r \h  \* MERGEFORMAT </w:instrText>
      </w:r>
      <w:r w:rsidRPr="00423598">
        <w:fldChar w:fldCharType="separate"/>
      </w:r>
      <w:r w:rsidR="00423598">
        <w:t>68</w:t>
      </w:r>
      <w:r w:rsidRPr="00423598">
        <w:fldChar w:fldCharType="end"/>
      </w:r>
      <w:r w:rsidRPr="00423598">
        <w:t>), the Panel considers that the burden of proof has shifted to the respondent, so that it is for UNMIK to present the Panel with evidence of an adequate investigation as a defense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4F45E5" w:rsidRPr="00423598" w:rsidRDefault="004F45E5" w:rsidP="004F45E5">
      <w:pPr>
        <w:pStyle w:val="ListParagraph"/>
      </w:pPr>
    </w:p>
    <w:p w:rsidR="004F45E5" w:rsidRPr="00423598" w:rsidRDefault="004F45E5" w:rsidP="004F45E5">
      <w:pPr>
        <w:numPr>
          <w:ilvl w:val="0"/>
          <w:numId w:val="2"/>
        </w:numPr>
        <w:tabs>
          <w:tab w:val="left" w:pos="709"/>
        </w:tabs>
        <w:suppressAutoHyphens/>
        <w:autoSpaceDE w:val="0"/>
        <w:jc w:val="both"/>
      </w:pPr>
      <w:r w:rsidRPr="00423598">
        <w:t xml:space="preserve">The Panel notes in this regard that according to the 2000 Annual Report of UNMIK Police, the complete executive policing powers in the Prishtinë/Priština region, including criminal investigations, were under the full control of UNMIK Police from September 1999. Therefore, it was UNMIK’s responsibility to ensure, </w:t>
      </w:r>
      <w:r w:rsidRPr="00423598">
        <w:rPr>
          <w:i/>
        </w:rPr>
        <w:t>first</w:t>
      </w:r>
      <w:r w:rsidRPr="00423598">
        <w:t xml:space="preserve">, that the investigation is conducted expeditiously and efficiently; </w:t>
      </w:r>
      <w:r w:rsidRPr="00423598">
        <w:rPr>
          <w:i/>
        </w:rPr>
        <w:t>second</w:t>
      </w:r>
      <w:r w:rsidRPr="00423598">
        <w:t xml:space="preserve">, that all relevant investigative material is properly handed over to the authority taking over responsibility for the investigation (EULEX); and </w:t>
      </w:r>
      <w:r w:rsidRPr="00423598">
        <w:rPr>
          <w:i/>
        </w:rPr>
        <w:t>third</w:t>
      </w:r>
      <w:r w:rsidRPr="00423598">
        <w:t>, that the investigative files could be traced and retrieved, should a need for that arise at any later stage.</w:t>
      </w:r>
    </w:p>
    <w:p w:rsidR="004F45E5" w:rsidRPr="00423598" w:rsidRDefault="004F45E5" w:rsidP="004F45E5">
      <w:pPr>
        <w:pStyle w:val="ListParagraph"/>
      </w:pPr>
    </w:p>
    <w:p w:rsidR="004F45E5" w:rsidRPr="00423598" w:rsidRDefault="004F45E5" w:rsidP="004F45E5">
      <w:pPr>
        <w:numPr>
          <w:ilvl w:val="0"/>
          <w:numId w:val="2"/>
        </w:numPr>
        <w:tabs>
          <w:tab w:val="left" w:pos="360"/>
        </w:tabs>
        <w:suppressAutoHyphens/>
        <w:autoSpaceDE w:val="0"/>
        <w:jc w:val="both"/>
      </w:pPr>
      <w:r w:rsidRPr="00423598">
        <w:t>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Regulation No. 2006/12; the file was not properly handed over to EULEX; or UNMIK failed to retrieve the file from the current custodian.</w:t>
      </w:r>
    </w:p>
    <w:p w:rsidR="004F45E5" w:rsidRPr="00423598" w:rsidRDefault="004F45E5" w:rsidP="004F45E5">
      <w:pPr>
        <w:tabs>
          <w:tab w:val="left" w:pos="360"/>
        </w:tabs>
        <w:suppressAutoHyphens/>
        <w:autoSpaceDE w:val="0"/>
        <w:ind w:left="360"/>
        <w:jc w:val="both"/>
      </w:pPr>
    </w:p>
    <w:p w:rsidR="004F45E5" w:rsidRPr="00423598" w:rsidRDefault="004F45E5" w:rsidP="004F45E5">
      <w:pPr>
        <w:numPr>
          <w:ilvl w:val="0"/>
          <w:numId w:val="2"/>
        </w:numPr>
        <w:tabs>
          <w:tab w:val="left" w:pos="360"/>
        </w:tabs>
        <w:suppressAutoHyphens/>
        <w:autoSpaceDE w:val="0"/>
        <w:jc w:val="both"/>
      </w:pPr>
      <w:r w:rsidRPr="00423598">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3E3F85" w:rsidRPr="00423598" w:rsidRDefault="003E3F85" w:rsidP="004F45E5">
      <w:pPr>
        <w:contextualSpacing/>
        <w:jc w:val="both"/>
        <w:rPr>
          <w:lang w:val="en-GB"/>
        </w:rPr>
      </w:pPr>
    </w:p>
    <w:p w:rsidR="003E3F85" w:rsidRPr="00423598" w:rsidRDefault="003E3F85" w:rsidP="003E3F85">
      <w:pPr>
        <w:numPr>
          <w:ilvl w:val="0"/>
          <w:numId w:val="2"/>
        </w:numPr>
        <w:tabs>
          <w:tab w:val="left" w:pos="709"/>
        </w:tabs>
        <w:suppressAutoHyphens/>
        <w:autoSpaceDE w:val="0"/>
        <w:jc w:val="both"/>
        <w:rPr>
          <w:lang w:val="en-GB"/>
        </w:rPr>
      </w:pPr>
      <w:r w:rsidRPr="00423598">
        <w:rPr>
          <w:bCs/>
          <w:lang w:val="en-GB"/>
        </w:rPr>
        <w:t>The</w:t>
      </w:r>
      <w:r w:rsidRPr="00423598">
        <w:rPr>
          <w:lang w:val="en-GB"/>
        </w:rPr>
        <w:t xml:space="preserve"> Panel notes that there were obvious shortcomings in the conduct of the investigation from its </w:t>
      </w:r>
      <w:r w:rsidRPr="00423598">
        <w:rPr>
          <w:lang w:val="en-GB" w:eastAsia="en-GB"/>
        </w:rPr>
        <w:t>commencement</w:t>
      </w:r>
      <w:r w:rsidRPr="00423598">
        <w:rPr>
          <w:lang w:val="en-GB"/>
        </w:rPr>
        <w:t xml:space="preserve">. However, in light of the considerations developed above concerning its limited temporal jurisdiction (see § </w:t>
      </w:r>
      <w:r w:rsidRPr="00423598">
        <w:fldChar w:fldCharType="begin"/>
      </w:r>
      <w:r w:rsidRPr="00423598">
        <w:instrText xml:space="preserve"> REF _Ref346123885 \r \h  \* MERGEFORMAT </w:instrText>
      </w:r>
      <w:r w:rsidRPr="00423598">
        <w:fldChar w:fldCharType="separate"/>
      </w:r>
      <w:r w:rsidR="00423598" w:rsidRPr="00423598">
        <w:rPr>
          <w:lang w:val="en-GB"/>
        </w:rPr>
        <w:t>41</w:t>
      </w:r>
      <w:r w:rsidRPr="00423598">
        <w:fldChar w:fldCharType="end"/>
      </w:r>
      <w:r w:rsidRPr="00423598">
        <w:rPr>
          <w:lang w:val="en-GB"/>
        </w:rPr>
        <w:t xml:space="preserve"> above), the Panel recalls that it is competent </w:t>
      </w:r>
      <w:r w:rsidRPr="00423598">
        <w:rPr>
          <w:i/>
          <w:lang w:val="en-GB"/>
        </w:rPr>
        <w:t>ratione temporis</w:t>
      </w:r>
      <w:r w:rsidRPr="00423598">
        <w:rPr>
          <w:lang w:val="en-GB"/>
        </w:rPr>
        <w:t xml:space="preserve"> to evaluate the compliance of the investigation with Article 2 of the ECHR only for the period after 23 April 2005, while taking into consideration the state of the case at that date (see ECtHR, </w:t>
      </w:r>
      <w:r w:rsidRPr="00423598">
        <w:rPr>
          <w:i/>
        </w:rPr>
        <w:t>Palić v. Bosnia and Herzegovina,</w:t>
      </w:r>
      <w:r w:rsidRPr="00423598">
        <w:t xml:space="preserve"> cited in § </w:t>
      </w:r>
      <w:r w:rsidRPr="00423598">
        <w:fldChar w:fldCharType="begin"/>
      </w:r>
      <w:r w:rsidRPr="00423598">
        <w:instrText xml:space="preserve"> REF _Ref366239979 \r \h  \* MERGEFORMAT </w:instrText>
      </w:r>
      <w:r w:rsidRPr="00423598">
        <w:fldChar w:fldCharType="separate"/>
      </w:r>
      <w:r w:rsidR="00423598">
        <w:t>73</w:t>
      </w:r>
      <w:r w:rsidRPr="00423598">
        <w:fldChar w:fldCharType="end"/>
      </w:r>
      <w:r w:rsidRPr="00423598">
        <w:t xml:space="preserve"> above, at § 70</w:t>
      </w:r>
      <w:r w:rsidRPr="00423598">
        <w:rPr>
          <w:lang w:val="en-GB"/>
        </w:rPr>
        <w:t xml:space="preserve">). The period under review ends on 9 December 2008, with EULEX taking over responsibility in the area of administration of justice (see § </w:t>
      </w:r>
      <w:r w:rsidRPr="00423598">
        <w:fldChar w:fldCharType="begin"/>
      </w:r>
      <w:r w:rsidRPr="00423598">
        <w:instrText xml:space="preserve"> REF _Ref346123927 \r \h  \* MERGEFORMAT </w:instrText>
      </w:r>
      <w:r w:rsidRPr="00423598">
        <w:fldChar w:fldCharType="separate"/>
      </w:r>
      <w:r w:rsidR="00423598" w:rsidRPr="00423598">
        <w:rPr>
          <w:lang w:val="en-GB"/>
        </w:rPr>
        <w:t>17</w:t>
      </w:r>
      <w:r w:rsidRPr="00423598">
        <w:fldChar w:fldCharType="end"/>
      </w:r>
      <w:r w:rsidRPr="00423598">
        <w:rPr>
          <w:lang w:val="en-GB"/>
        </w:rPr>
        <w:t xml:space="preserve"> above).</w:t>
      </w:r>
    </w:p>
    <w:p w:rsidR="003E3F85" w:rsidRPr="00423598" w:rsidRDefault="003E3F85" w:rsidP="00375153">
      <w:pPr>
        <w:jc w:val="both"/>
        <w:rPr>
          <w:lang w:val="en-GB"/>
        </w:rPr>
      </w:pPr>
    </w:p>
    <w:p w:rsidR="002948A6" w:rsidRPr="00423598" w:rsidRDefault="00616A11" w:rsidP="004F45E5">
      <w:pPr>
        <w:numPr>
          <w:ilvl w:val="0"/>
          <w:numId w:val="2"/>
        </w:numPr>
        <w:tabs>
          <w:tab w:val="left" w:pos="709"/>
        </w:tabs>
        <w:suppressAutoHyphens/>
        <w:autoSpaceDE w:val="0"/>
        <w:jc w:val="both"/>
      </w:pPr>
      <w:r w:rsidRPr="00423598">
        <w:rPr>
          <w:bCs/>
          <w:lang w:val="en-GB"/>
        </w:rPr>
        <w:t xml:space="preserve">With </w:t>
      </w:r>
      <w:r w:rsidRPr="00423598">
        <w:rPr>
          <w:lang w:val="en-GB"/>
        </w:rPr>
        <w:t>regard</w:t>
      </w:r>
      <w:r w:rsidRPr="00423598">
        <w:rPr>
          <w:bCs/>
          <w:lang w:val="en-GB"/>
        </w:rPr>
        <w:t xml:space="preserve"> to the first part of the </w:t>
      </w:r>
      <w:r w:rsidRPr="00423598">
        <w:rPr>
          <w:lang w:val="en-GB"/>
        </w:rPr>
        <w:t>procedural</w:t>
      </w:r>
      <w:r w:rsidRPr="00423598">
        <w:rPr>
          <w:bCs/>
          <w:lang w:val="en-GB"/>
        </w:rPr>
        <w:t xml:space="preserve"> obligation, that is locating the mortal remains of </w:t>
      </w:r>
      <w:r w:rsidR="004F45E5" w:rsidRPr="00423598">
        <w:rPr>
          <w:lang w:val="en-GB"/>
        </w:rPr>
        <w:t>Mr Rade Budimir</w:t>
      </w:r>
      <w:r w:rsidRPr="00423598">
        <w:rPr>
          <w:lang w:val="en-GB"/>
        </w:rPr>
        <w:t>,</w:t>
      </w:r>
      <w:r w:rsidRPr="00423598">
        <w:t xml:space="preserve"> t</w:t>
      </w:r>
      <w:r w:rsidR="003E3F85" w:rsidRPr="00423598">
        <w:t>he</w:t>
      </w:r>
      <w:r w:rsidR="003E3F85" w:rsidRPr="00423598">
        <w:rPr>
          <w:lang w:val="en-GB"/>
        </w:rPr>
        <w:t xml:space="preserve"> Panel notes that the SRSG argues that UNMIK fulfilled the requirements</w:t>
      </w:r>
      <w:r w:rsidR="00BD43B1" w:rsidRPr="00423598">
        <w:rPr>
          <w:lang w:val="en-GB"/>
        </w:rPr>
        <w:t xml:space="preserve"> of Article 2 of the ECHR</w:t>
      </w:r>
      <w:r w:rsidR="00F04E90" w:rsidRPr="00423598">
        <w:rPr>
          <w:lang w:val="en-GB"/>
        </w:rPr>
        <w:t xml:space="preserve"> in that </w:t>
      </w:r>
      <w:r w:rsidR="002948A6" w:rsidRPr="00423598">
        <w:t xml:space="preserve">UNMIK OMPF undertook actions that resulted in the identification of the mortal remains of </w:t>
      </w:r>
      <w:r w:rsidR="004F45E5" w:rsidRPr="00423598">
        <w:rPr>
          <w:lang w:val="en-GB"/>
        </w:rPr>
        <w:t>Mr Rade Budimir</w:t>
      </w:r>
      <w:r w:rsidR="002948A6" w:rsidRPr="00423598">
        <w:t xml:space="preserve">. He argues that </w:t>
      </w:r>
      <w:r w:rsidR="004F45E5" w:rsidRPr="00423598">
        <w:t>“it appears that UNMIK complied with its obligation to determine through an appropriate investigation [into] the fate and whereabouts of Mr. Budimir”</w:t>
      </w:r>
      <w:r w:rsidR="002948A6" w:rsidRPr="00423598">
        <w:rPr>
          <w:lang w:val="en-GB"/>
        </w:rPr>
        <w:t xml:space="preserve"> (see § </w:t>
      </w:r>
      <w:r w:rsidR="004F45E5" w:rsidRPr="00423598">
        <w:rPr>
          <w:lang w:val="en-GB"/>
        </w:rPr>
        <w:fldChar w:fldCharType="begin"/>
      </w:r>
      <w:r w:rsidR="004F45E5" w:rsidRPr="00423598">
        <w:rPr>
          <w:lang w:val="en-GB"/>
        </w:rPr>
        <w:instrText xml:space="preserve"> REF _Ref400971896 \r \h  \* MERGEFORMAT </w:instrText>
      </w:r>
      <w:r w:rsidR="004F45E5" w:rsidRPr="00423598">
        <w:rPr>
          <w:lang w:val="en-GB"/>
        </w:rPr>
      </w:r>
      <w:r w:rsidR="004F45E5" w:rsidRPr="00423598">
        <w:rPr>
          <w:lang w:val="en-GB"/>
        </w:rPr>
        <w:fldChar w:fldCharType="separate"/>
      </w:r>
      <w:r w:rsidR="00423598">
        <w:rPr>
          <w:lang w:val="en-GB"/>
        </w:rPr>
        <w:t>54</w:t>
      </w:r>
      <w:r w:rsidR="004F45E5" w:rsidRPr="00423598">
        <w:rPr>
          <w:lang w:val="en-GB"/>
        </w:rPr>
        <w:fldChar w:fldCharType="end"/>
      </w:r>
      <w:r w:rsidR="002948A6" w:rsidRPr="00423598">
        <w:rPr>
          <w:lang w:val="en-GB"/>
        </w:rPr>
        <w:t xml:space="preserve"> above).</w:t>
      </w:r>
      <w:r w:rsidR="002948A6" w:rsidRPr="00423598">
        <w:t xml:space="preserve"> </w:t>
      </w:r>
    </w:p>
    <w:p w:rsidR="003E3F85" w:rsidRPr="00423598" w:rsidRDefault="003E3F85" w:rsidP="002948A6">
      <w:pPr>
        <w:tabs>
          <w:tab w:val="left" w:pos="709"/>
        </w:tabs>
        <w:suppressAutoHyphens/>
        <w:autoSpaceDE w:val="0"/>
        <w:ind w:left="360"/>
        <w:jc w:val="both"/>
      </w:pPr>
    </w:p>
    <w:p w:rsidR="003E3F85" w:rsidRPr="00423598" w:rsidRDefault="003E3F85" w:rsidP="003E3F85">
      <w:pPr>
        <w:numPr>
          <w:ilvl w:val="0"/>
          <w:numId w:val="2"/>
        </w:numPr>
        <w:tabs>
          <w:tab w:val="left" w:pos="709"/>
        </w:tabs>
        <w:suppressAutoHyphens/>
        <w:autoSpaceDE w:val="0"/>
        <w:jc w:val="both"/>
      </w:pPr>
      <w:r w:rsidRPr="00423598">
        <w:t>The Pan</w:t>
      </w:r>
      <w:r w:rsidR="002948A6" w:rsidRPr="00423598">
        <w:t xml:space="preserve">el agrees </w:t>
      </w:r>
      <w:r w:rsidR="002948A6" w:rsidRPr="00423598">
        <w:rPr>
          <w:lang w:val="en-GB"/>
        </w:rPr>
        <w:t xml:space="preserve">that </w:t>
      </w:r>
      <w:r w:rsidR="004F45E5" w:rsidRPr="00423598">
        <w:t>UNMIK</w:t>
      </w:r>
      <w:r w:rsidR="002948A6" w:rsidRPr="00423598">
        <w:t xml:space="preserve"> undertook actions that resulted in the identification of the mortal remains of </w:t>
      </w:r>
      <w:r w:rsidR="004F45E5" w:rsidRPr="00423598">
        <w:rPr>
          <w:lang w:val="en-GB"/>
        </w:rPr>
        <w:t>Mr Rade Budimir</w:t>
      </w:r>
      <w:r w:rsidR="004F45E5" w:rsidRPr="00423598">
        <w:t xml:space="preserve"> </w:t>
      </w:r>
      <w:r w:rsidR="00622236" w:rsidRPr="00423598">
        <w:t>and not</w:t>
      </w:r>
      <w:r w:rsidR="004F45E5" w:rsidRPr="00423598">
        <w:t>es that on 13</w:t>
      </w:r>
      <w:r w:rsidRPr="00423598">
        <w:t xml:space="preserve"> </w:t>
      </w:r>
      <w:r w:rsidR="004F45E5" w:rsidRPr="00423598">
        <w:t>September 2002</w:t>
      </w:r>
      <w:r w:rsidRPr="00423598">
        <w:t xml:space="preserve">, UNMIK </w:t>
      </w:r>
      <w:r w:rsidRPr="00423598">
        <w:rPr>
          <w:lang w:val="en-GB"/>
        </w:rPr>
        <w:t>return</w:t>
      </w:r>
      <w:r w:rsidR="002948A6" w:rsidRPr="00423598">
        <w:rPr>
          <w:lang w:val="en-GB"/>
        </w:rPr>
        <w:t>ed his</w:t>
      </w:r>
      <w:r w:rsidRPr="00423598">
        <w:rPr>
          <w:lang w:val="en-GB"/>
        </w:rPr>
        <w:t xml:space="preserve"> mortal remains to the family</w:t>
      </w:r>
      <w:r w:rsidRPr="00423598">
        <w:t xml:space="preserve">. </w:t>
      </w:r>
      <w:r w:rsidRPr="00423598">
        <w:rPr>
          <w:lang w:val="en-GB"/>
        </w:rPr>
        <w:t>Although</w:t>
      </w:r>
      <w:r w:rsidRPr="00423598">
        <w:t xml:space="preserve"> this must be considered in itself an achievement, the Panel recalls that the procedural obligation under Article 2 did not come to an end with the discovery, ide</w:t>
      </w:r>
      <w:r w:rsidR="00423598" w:rsidRPr="00423598">
        <w:t>ntification and subsequent hand</w:t>
      </w:r>
      <w:r w:rsidRPr="00423598">
        <w:t xml:space="preserve">over of </w:t>
      </w:r>
      <w:r w:rsidR="004F45E5" w:rsidRPr="00423598">
        <w:rPr>
          <w:lang w:val="en-GB"/>
        </w:rPr>
        <w:t>Mr Rade Budimir</w:t>
      </w:r>
      <w:r w:rsidR="002948A6" w:rsidRPr="00423598">
        <w:rPr>
          <w:lang w:val="en-GB"/>
        </w:rPr>
        <w:t>’s</w:t>
      </w:r>
      <w:r w:rsidR="002948A6" w:rsidRPr="00423598">
        <w:t xml:space="preserve"> </w:t>
      </w:r>
      <w:r w:rsidRPr="00423598">
        <w:rPr>
          <w:lang w:val="en-GB"/>
        </w:rPr>
        <w:t>mortal remains</w:t>
      </w:r>
      <w:r w:rsidR="00622236" w:rsidRPr="00423598">
        <w:t xml:space="preserve">. </w:t>
      </w:r>
      <w:r w:rsidRPr="00423598">
        <w:rPr>
          <w:lang w:val="en-GB"/>
        </w:rPr>
        <w:t>Now the Panel will turn to the investigation carried out by UNMIK Police with the aim of identifying the perpetrator(s) and bringing them to justice, that is, the second element of the procedural obligat</w:t>
      </w:r>
      <w:r w:rsidR="00622236" w:rsidRPr="00423598">
        <w:rPr>
          <w:lang w:val="en-GB"/>
        </w:rPr>
        <w:t>ion under Article 2 of the ECHR.</w:t>
      </w:r>
    </w:p>
    <w:p w:rsidR="003E3F85" w:rsidRPr="00423598" w:rsidRDefault="003E3F85" w:rsidP="003E3F85">
      <w:pPr>
        <w:pStyle w:val="ListParagraph"/>
        <w:rPr>
          <w:bCs/>
          <w:i/>
          <w:lang w:val="en-GB"/>
        </w:rPr>
      </w:pPr>
    </w:p>
    <w:p w:rsidR="003E3F85" w:rsidRPr="00423598" w:rsidRDefault="003E3F85" w:rsidP="00622236">
      <w:pPr>
        <w:numPr>
          <w:ilvl w:val="0"/>
          <w:numId w:val="2"/>
        </w:numPr>
        <w:tabs>
          <w:tab w:val="left" w:pos="709"/>
        </w:tabs>
        <w:suppressAutoHyphens/>
        <w:autoSpaceDE w:val="0"/>
        <w:jc w:val="both"/>
      </w:pPr>
      <w:r w:rsidRPr="00423598">
        <w:rPr>
          <w:bCs/>
          <w:lang w:val="en-GB"/>
        </w:rPr>
        <w:t>In</w:t>
      </w:r>
      <w:r w:rsidRPr="00423598">
        <w:rPr>
          <w:bCs/>
          <w:color w:val="000000" w:themeColor="text1"/>
          <w:lang w:val="en-GB"/>
        </w:rPr>
        <w:t xml:space="preserve"> this respect, the Panel notes that, </w:t>
      </w:r>
      <w:r w:rsidRPr="00423598">
        <w:rPr>
          <w:lang w:val="en-GB"/>
        </w:rPr>
        <w:t>as established above, U</w:t>
      </w:r>
      <w:r w:rsidR="00622236" w:rsidRPr="00423598">
        <w:rPr>
          <w:lang w:val="en-GB"/>
        </w:rPr>
        <w:t xml:space="preserve">NMIK became aware of the </w:t>
      </w:r>
      <w:r w:rsidR="00423598" w:rsidRPr="00423598">
        <w:rPr>
          <w:lang w:val="en-GB"/>
        </w:rPr>
        <w:t>abd</w:t>
      </w:r>
      <w:r w:rsidR="00954A3E" w:rsidRPr="00423598">
        <w:rPr>
          <w:lang w:val="en-GB"/>
        </w:rPr>
        <w:t>u</w:t>
      </w:r>
      <w:r w:rsidR="00423598" w:rsidRPr="00423598">
        <w:rPr>
          <w:lang w:val="en-GB"/>
        </w:rPr>
        <w:t>c</w:t>
      </w:r>
      <w:r w:rsidR="00954A3E" w:rsidRPr="00423598">
        <w:rPr>
          <w:lang w:val="en-GB"/>
        </w:rPr>
        <w:t>tion</w:t>
      </w:r>
      <w:r w:rsidR="00622236" w:rsidRPr="00423598">
        <w:rPr>
          <w:lang w:val="en-GB"/>
        </w:rPr>
        <w:t xml:space="preserve"> </w:t>
      </w:r>
      <w:r w:rsidRPr="00423598">
        <w:rPr>
          <w:lang w:val="en-GB"/>
        </w:rPr>
        <w:t xml:space="preserve">of </w:t>
      </w:r>
      <w:r w:rsidR="004F45E5" w:rsidRPr="00423598">
        <w:rPr>
          <w:lang w:val="en-GB"/>
        </w:rPr>
        <w:t xml:space="preserve">Mr Rade Budimir </w:t>
      </w:r>
      <w:r w:rsidR="00622236" w:rsidRPr="00423598">
        <w:rPr>
          <w:lang w:val="en-GB"/>
        </w:rPr>
        <w:t>no later than</w:t>
      </w:r>
      <w:r w:rsidRPr="00423598">
        <w:rPr>
          <w:lang w:val="en-GB"/>
        </w:rPr>
        <w:t xml:space="preserve"> </w:t>
      </w:r>
      <w:r w:rsidR="004F45E5" w:rsidRPr="00423598">
        <w:rPr>
          <w:lang w:val="en-GB"/>
        </w:rPr>
        <w:t>February 2000</w:t>
      </w:r>
      <w:r w:rsidRPr="00423598">
        <w:rPr>
          <w:lang w:val="en-GB"/>
        </w:rPr>
        <w:t>, as the investigation into the</w:t>
      </w:r>
      <w:r w:rsidR="00BD43B1" w:rsidRPr="00423598">
        <w:rPr>
          <w:lang w:val="en-GB"/>
        </w:rPr>
        <w:t xml:space="preserve"> matter had been opened by the MPU</w:t>
      </w:r>
      <w:r w:rsidRPr="00423598">
        <w:rPr>
          <w:lang w:val="en-GB"/>
        </w:rPr>
        <w:t xml:space="preserve"> by then (see § </w:t>
      </w:r>
      <w:r w:rsidR="004F45E5" w:rsidRPr="00423598">
        <w:fldChar w:fldCharType="begin"/>
      </w:r>
      <w:r w:rsidR="004F45E5" w:rsidRPr="00423598">
        <w:rPr>
          <w:lang w:val="en-GB"/>
        </w:rPr>
        <w:instrText xml:space="preserve"> REF _Ref400968564 \r \h </w:instrText>
      </w:r>
      <w:r w:rsidR="004F45E5" w:rsidRPr="00423598">
        <w:instrText xml:space="preserve"> \* MERGEFORMAT </w:instrText>
      </w:r>
      <w:r w:rsidR="004F45E5" w:rsidRPr="00423598">
        <w:fldChar w:fldCharType="separate"/>
      </w:r>
      <w:r w:rsidR="00423598">
        <w:rPr>
          <w:lang w:val="en-GB"/>
        </w:rPr>
        <w:t>27</w:t>
      </w:r>
      <w:r w:rsidR="004F45E5" w:rsidRPr="00423598">
        <w:fldChar w:fldCharType="end"/>
      </w:r>
      <w:r w:rsidR="00375153" w:rsidRPr="00423598">
        <w:t xml:space="preserve"> </w:t>
      </w:r>
      <w:r w:rsidRPr="00423598">
        <w:rPr>
          <w:lang w:val="en-GB"/>
        </w:rPr>
        <w:t xml:space="preserve">above). </w:t>
      </w:r>
      <w:r w:rsidR="002948A6" w:rsidRPr="00423598">
        <w:rPr>
          <w:lang w:val="en-GB"/>
        </w:rPr>
        <w:t>The Panel notes that the</w:t>
      </w:r>
      <w:r w:rsidR="00622236" w:rsidRPr="00423598">
        <w:rPr>
          <w:lang w:val="en-GB"/>
        </w:rPr>
        <w:t>re is no evidence provided in the file that any investigative activities were undertaken at that time, except for registering the case.</w:t>
      </w:r>
      <w:r w:rsidR="002948A6" w:rsidRPr="00423598">
        <w:rPr>
          <w:lang w:val="en-GB"/>
        </w:rPr>
        <w:t xml:space="preserve"> </w:t>
      </w:r>
      <w:r w:rsidR="002948A6" w:rsidRPr="00423598">
        <w:rPr>
          <w:bCs/>
          <w:lang w:val="en-GB"/>
        </w:rPr>
        <w:t xml:space="preserve">The Panel notes that by </w:t>
      </w:r>
      <w:r w:rsidR="004F45E5" w:rsidRPr="00423598">
        <w:rPr>
          <w:lang w:val="en-GB"/>
        </w:rPr>
        <w:t>February 2000,</w:t>
      </w:r>
      <w:r w:rsidR="00622236" w:rsidRPr="00423598">
        <w:rPr>
          <w:lang w:val="en-GB"/>
        </w:rPr>
        <w:t xml:space="preserve"> </w:t>
      </w:r>
      <w:r w:rsidR="00622236" w:rsidRPr="00423598">
        <w:rPr>
          <w:bCs/>
          <w:lang w:val="en-GB"/>
        </w:rPr>
        <w:t>UNMIK Police possessed some</w:t>
      </w:r>
      <w:r w:rsidRPr="00423598">
        <w:rPr>
          <w:bCs/>
          <w:lang w:val="en-GB"/>
        </w:rPr>
        <w:t xml:space="preserve"> </w:t>
      </w:r>
      <w:r w:rsidRPr="00423598">
        <w:rPr>
          <w:bCs/>
          <w:color w:val="000000" w:themeColor="text1"/>
          <w:lang w:val="en-GB"/>
        </w:rPr>
        <w:t>i</w:t>
      </w:r>
      <w:r w:rsidR="004F45E5" w:rsidRPr="00423598">
        <w:rPr>
          <w:bCs/>
          <w:color w:val="000000" w:themeColor="text1"/>
          <w:lang w:val="en-GB"/>
        </w:rPr>
        <w:t xml:space="preserve">nformation, including a basic description of the disappearance of </w:t>
      </w:r>
      <w:r w:rsidR="004F45E5" w:rsidRPr="00423598">
        <w:rPr>
          <w:lang w:val="en-GB"/>
        </w:rPr>
        <w:t>Mr Rade Budimir. Furthermore, in October 2000, UNMIK MPU were given more information, specifically the</w:t>
      </w:r>
      <w:r w:rsidR="004F45E5" w:rsidRPr="00423598">
        <w:rPr>
          <w:bCs/>
          <w:color w:val="000000" w:themeColor="text1"/>
          <w:lang w:val="en-GB"/>
        </w:rPr>
        <w:t xml:space="preserve"> </w:t>
      </w:r>
      <w:r w:rsidR="005A068B" w:rsidRPr="00423598">
        <w:rPr>
          <w:bCs/>
          <w:color w:val="000000" w:themeColor="text1"/>
          <w:lang w:val="en-GB"/>
        </w:rPr>
        <w:t>name, address and telephone number</w:t>
      </w:r>
      <w:r w:rsidR="002948A6" w:rsidRPr="00423598">
        <w:rPr>
          <w:bCs/>
          <w:color w:val="000000" w:themeColor="text1"/>
          <w:lang w:val="en-GB"/>
        </w:rPr>
        <w:t xml:space="preserve"> of the complainant</w:t>
      </w:r>
      <w:r w:rsidR="005A068B" w:rsidRPr="00423598">
        <w:rPr>
          <w:bCs/>
          <w:color w:val="000000" w:themeColor="text1"/>
          <w:lang w:val="en-GB"/>
        </w:rPr>
        <w:t>,</w:t>
      </w:r>
      <w:r w:rsidR="004F45E5" w:rsidRPr="00423598">
        <w:rPr>
          <w:bCs/>
          <w:color w:val="000000" w:themeColor="text1"/>
          <w:lang w:val="en-GB"/>
        </w:rPr>
        <w:t xml:space="preserve"> the address of the location where Mr Rade Budimir disappeared from, and the name of the victim’s brother, who may have also been witness to the arrest of four Albanians inside the victim’s house (see § </w:t>
      </w:r>
      <w:r w:rsidR="004F45E5" w:rsidRPr="00423598">
        <w:rPr>
          <w:bCs/>
          <w:color w:val="000000" w:themeColor="text1"/>
          <w:lang w:val="en-GB"/>
        </w:rPr>
        <w:fldChar w:fldCharType="begin"/>
      </w:r>
      <w:r w:rsidR="004F45E5" w:rsidRPr="00423598">
        <w:rPr>
          <w:bCs/>
          <w:color w:val="000000" w:themeColor="text1"/>
          <w:lang w:val="en-GB"/>
        </w:rPr>
        <w:instrText xml:space="preserve"> REF _Ref400976785 \r \h  \* MERGEFORMAT </w:instrText>
      </w:r>
      <w:r w:rsidR="004F45E5" w:rsidRPr="00423598">
        <w:rPr>
          <w:bCs/>
          <w:color w:val="000000" w:themeColor="text1"/>
          <w:lang w:val="en-GB"/>
        </w:rPr>
      </w:r>
      <w:r w:rsidR="004F45E5" w:rsidRPr="00423598">
        <w:rPr>
          <w:bCs/>
          <w:color w:val="000000" w:themeColor="text1"/>
          <w:lang w:val="en-GB"/>
        </w:rPr>
        <w:fldChar w:fldCharType="separate"/>
      </w:r>
      <w:r w:rsidR="00423598">
        <w:rPr>
          <w:bCs/>
          <w:color w:val="000000" w:themeColor="text1"/>
          <w:lang w:val="en-GB"/>
        </w:rPr>
        <w:t>30</w:t>
      </w:r>
      <w:r w:rsidR="004F45E5" w:rsidRPr="00423598">
        <w:rPr>
          <w:bCs/>
          <w:color w:val="000000" w:themeColor="text1"/>
          <w:lang w:val="en-GB"/>
        </w:rPr>
        <w:fldChar w:fldCharType="end"/>
      </w:r>
      <w:r w:rsidR="004F45E5" w:rsidRPr="00423598">
        <w:rPr>
          <w:bCs/>
          <w:color w:val="000000" w:themeColor="text1"/>
          <w:lang w:val="en-GB"/>
        </w:rPr>
        <w:t xml:space="preserve"> above)</w:t>
      </w:r>
      <w:r w:rsidR="00622236" w:rsidRPr="00423598">
        <w:rPr>
          <w:bCs/>
          <w:color w:val="000000" w:themeColor="text1"/>
          <w:lang w:val="en-GB"/>
        </w:rPr>
        <w:t>.</w:t>
      </w:r>
      <w:bookmarkStart w:id="78" w:name="_Ref387316098"/>
      <w:r w:rsidR="004F45E5" w:rsidRPr="00423598">
        <w:rPr>
          <w:bCs/>
          <w:color w:val="000000" w:themeColor="text1"/>
          <w:lang w:val="en-GB"/>
        </w:rPr>
        <w:t xml:space="preserve"> </w:t>
      </w:r>
      <w:r w:rsidRPr="00423598">
        <w:rPr>
          <w:bCs/>
          <w:lang w:val="en-GB"/>
        </w:rPr>
        <w:t xml:space="preserve">These were obvious lines </w:t>
      </w:r>
      <w:r w:rsidR="002948A6" w:rsidRPr="00423598">
        <w:rPr>
          <w:bCs/>
          <w:lang w:val="en-GB"/>
        </w:rPr>
        <w:t xml:space="preserve">of enquiry </w:t>
      </w:r>
      <w:r w:rsidR="00622236" w:rsidRPr="00423598">
        <w:rPr>
          <w:bCs/>
          <w:lang w:val="en-GB"/>
        </w:rPr>
        <w:t>which were</w:t>
      </w:r>
      <w:r w:rsidR="004F45E5" w:rsidRPr="00423598">
        <w:rPr>
          <w:bCs/>
          <w:lang w:val="en-GB"/>
        </w:rPr>
        <w:t xml:space="preserve"> apparently</w:t>
      </w:r>
      <w:r w:rsidR="00622236" w:rsidRPr="00423598">
        <w:rPr>
          <w:bCs/>
          <w:lang w:val="en-GB"/>
        </w:rPr>
        <w:t xml:space="preserve"> not pursued.</w:t>
      </w:r>
    </w:p>
    <w:bookmarkEnd w:id="78"/>
    <w:p w:rsidR="006B7095" w:rsidRPr="00423598" w:rsidRDefault="006B7095" w:rsidP="006B7095">
      <w:pPr>
        <w:tabs>
          <w:tab w:val="left" w:pos="709"/>
        </w:tabs>
        <w:suppressAutoHyphens/>
        <w:autoSpaceDE w:val="0"/>
        <w:jc w:val="both"/>
        <w:rPr>
          <w:bCs/>
          <w:lang w:val="en-GB"/>
        </w:rPr>
      </w:pPr>
    </w:p>
    <w:p w:rsidR="00423598" w:rsidRPr="00423598" w:rsidRDefault="00423598" w:rsidP="00423598">
      <w:pPr>
        <w:pStyle w:val="ListParagraph"/>
        <w:numPr>
          <w:ilvl w:val="0"/>
          <w:numId w:val="2"/>
        </w:numPr>
        <w:tabs>
          <w:tab w:val="clear" w:pos="360"/>
          <w:tab w:val="num" w:pos="450"/>
        </w:tabs>
        <w:autoSpaceDE w:val="0"/>
        <w:ind w:left="450" w:hanging="450"/>
        <w:jc w:val="both"/>
        <w:rPr>
          <w:bCs/>
          <w:lang w:val="en-GB"/>
        </w:rPr>
      </w:pPr>
      <w:r w:rsidRPr="00423598">
        <w:rPr>
          <w:bCs/>
          <w:lang w:val="en-GB"/>
        </w:rPr>
        <w:t xml:space="preserve">The </w:t>
      </w:r>
      <w:r w:rsidRPr="00423598">
        <w:rPr>
          <w:lang w:val="en-GB"/>
        </w:rPr>
        <w:t>Panel</w:t>
      </w:r>
      <w:r w:rsidRPr="00423598">
        <w:rPr>
          <w:bCs/>
          <w:lang w:val="en-GB"/>
        </w:rPr>
        <w:t xml:space="preserve"> likewise notes the SRSG’s assertion with respect with some inconsistencies between the co</w:t>
      </w:r>
      <w:r w:rsidRPr="00423598">
        <w:rPr>
          <w:bCs/>
          <w:lang w:val="en-GB"/>
        </w:rPr>
        <w:t xml:space="preserve">mplainant’s statements (see § </w:t>
      </w:r>
      <w:r w:rsidRPr="00423598">
        <w:rPr>
          <w:bCs/>
          <w:lang w:val="en-GB"/>
        </w:rPr>
        <w:fldChar w:fldCharType="begin"/>
      </w:r>
      <w:r w:rsidRPr="00423598">
        <w:rPr>
          <w:bCs/>
          <w:lang w:val="en-GB"/>
        </w:rPr>
        <w:instrText xml:space="preserve"> REF _Ref401246390 \r \h </w:instrText>
      </w:r>
      <w:r w:rsidRPr="00423598">
        <w:rPr>
          <w:bCs/>
          <w:lang w:val="en-GB"/>
        </w:rPr>
      </w:r>
      <w:r w:rsidRPr="00423598">
        <w:rPr>
          <w:bCs/>
          <w:lang w:val="en-GB"/>
        </w:rPr>
        <w:instrText xml:space="preserve"> \* MERGEFORMAT </w:instrText>
      </w:r>
      <w:r w:rsidRPr="00423598">
        <w:rPr>
          <w:bCs/>
          <w:lang w:val="en-GB"/>
        </w:rPr>
        <w:fldChar w:fldCharType="separate"/>
      </w:r>
      <w:r>
        <w:rPr>
          <w:bCs/>
          <w:lang w:val="en-GB"/>
        </w:rPr>
        <w:t>52</w:t>
      </w:r>
      <w:r w:rsidRPr="00423598">
        <w:rPr>
          <w:bCs/>
          <w:lang w:val="en-GB"/>
        </w:rPr>
        <w:fldChar w:fldCharType="end"/>
      </w:r>
      <w:r w:rsidRPr="00423598">
        <w:rPr>
          <w:bCs/>
          <w:lang w:val="en-GB"/>
        </w:rPr>
        <w:t xml:space="preserve"> above) the Panel however considers that </w:t>
      </w:r>
      <w:r w:rsidRPr="00423598">
        <w:rPr>
          <w:bCs/>
          <w:lang w:val="en-GB"/>
        </w:rPr>
        <w:lastRenderedPageBreak/>
        <w:t xml:space="preserve">such inconsistencies have no bearing on the adequacy of the investigation and indeed clarifying such inconsistencies is one of the purposes of the investigation. </w:t>
      </w:r>
      <w:r w:rsidR="003E3F85" w:rsidRPr="00423598">
        <w:rPr>
          <w:bCs/>
          <w:lang w:val="en-GB"/>
        </w:rPr>
        <w:t xml:space="preserve">The </w:t>
      </w:r>
      <w:r w:rsidR="003E3F85" w:rsidRPr="00423598">
        <w:rPr>
          <w:lang w:val="en-GB"/>
        </w:rPr>
        <w:t>Panel</w:t>
      </w:r>
      <w:r w:rsidR="003E3F85" w:rsidRPr="00423598">
        <w:rPr>
          <w:bCs/>
          <w:lang w:val="en-GB"/>
        </w:rPr>
        <w:t xml:space="preserve"> likewise recalls the SRSG’s argument that “</w:t>
      </w:r>
      <w:r w:rsidR="006B7095" w:rsidRPr="00423598">
        <w:t xml:space="preserve">without witnesses coming forward or physical evidence being discovered, as in the present case, police investigations inevitably stall because of a lack of evidence” </w:t>
      </w:r>
      <w:r w:rsidR="003E3F85" w:rsidRPr="00423598">
        <w:rPr>
          <w:bCs/>
          <w:lang w:val="en-GB"/>
        </w:rPr>
        <w:t xml:space="preserve">(see § </w:t>
      </w:r>
      <w:r w:rsidR="004F45E5" w:rsidRPr="00423598">
        <w:fldChar w:fldCharType="begin"/>
      </w:r>
      <w:r w:rsidR="004F45E5" w:rsidRPr="00423598">
        <w:rPr>
          <w:bCs/>
          <w:lang w:val="en-GB"/>
        </w:rPr>
        <w:instrText xml:space="preserve"> REF _Ref400976030 \r \h </w:instrText>
      </w:r>
      <w:r w:rsidR="004F45E5" w:rsidRPr="00423598">
        <w:instrText xml:space="preserve"> \* MERGEFORMAT </w:instrText>
      </w:r>
      <w:r w:rsidR="004F45E5" w:rsidRPr="00423598">
        <w:fldChar w:fldCharType="separate"/>
      </w:r>
      <w:r>
        <w:rPr>
          <w:bCs/>
          <w:lang w:val="en-GB"/>
        </w:rPr>
        <w:t>56</w:t>
      </w:r>
      <w:r w:rsidR="004F45E5" w:rsidRPr="00423598">
        <w:fldChar w:fldCharType="end"/>
      </w:r>
      <w:r w:rsidR="003E3F85" w:rsidRPr="00423598">
        <w:rPr>
          <w:bCs/>
          <w:lang w:val="en-GB"/>
        </w:rPr>
        <w:t xml:space="preserve"> above). In this regard, the Panel must note that almost any investigation at its initial stage lacks a significant amount of information. Finding the </w:t>
      </w:r>
      <w:r w:rsidR="003E3F85" w:rsidRPr="00423598">
        <w:rPr>
          <w:lang w:val="en-GB"/>
        </w:rPr>
        <w:t>necessary</w:t>
      </w:r>
      <w:r w:rsidR="003E3F85" w:rsidRPr="00423598">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003E3F85" w:rsidRPr="00423598">
        <w:rPr>
          <w:bCs/>
          <w:i/>
          <w:lang w:val="en-GB"/>
        </w:rPr>
        <w:t>P.S</w:t>
      </w:r>
      <w:r w:rsidR="003E3F85" w:rsidRPr="00423598">
        <w:rPr>
          <w:bCs/>
          <w:lang w:val="en-GB"/>
        </w:rPr>
        <w:t>., no. 48/09, opinion of 31 October 2013, § 107).</w:t>
      </w:r>
    </w:p>
    <w:p w:rsidR="00423598" w:rsidRPr="00423598" w:rsidRDefault="00423598" w:rsidP="00423598">
      <w:pPr>
        <w:pStyle w:val="ListParagraph"/>
        <w:autoSpaceDE w:val="0"/>
        <w:ind w:left="450"/>
        <w:jc w:val="both"/>
        <w:rPr>
          <w:bCs/>
          <w:lang w:val="en-GB"/>
        </w:rPr>
      </w:pPr>
    </w:p>
    <w:p w:rsidR="003E3F85" w:rsidRPr="00423598" w:rsidRDefault="003E3F85" w:rsidP="00423598">
      <w:pPr>
        <w:pStyle w:val="ListParagraph"/>
        <w:numPr>
          <w:ilvl w:val="0"/>
          <w:numId w:val="2"/>
        </w:numPr>
        <w:tabs>
          <w:tab w:val="clear" w:pos="360"/>
          <w:tab w:val="num" w:pos="450"/>
        </w:tabs>
        <w:autoSpaceDE w:val="0"/>
        <w:ind w:left="450" w:hanging="450"/>
        <w:jc w:val="both"/>
        <w:rPr>
          <w:bCs/>
          <w:lang w:val="en-GB"/>
        </w:rPr>
      </w:pPr>
      <w:r w:rsidRPr="00423598">
        <w:rPr>
          <w:lang w:val="en-GB"/>
        </w:rPr>
        <w:t>In the Panel’s view, it is because of the lack of information at the initial stage that this case was</w:t>
      </w:r>
      <w:r w:rsidR="00622236" w:rsidRPr="00423598">
        <w:rPr>
          <w:lang w:val="en-GB"/>
        </w:rPr>
        <w:t xml:space="preserve"> apparently</w:t>
      </w:r>
      <w:r w:rsidRPr="00423598">
        <w:rPr>
          <w:lang w:val="en-GB"/>
        </w:rPr>
        <w:t xml:space="preserve"> closed, without any</w:t>
      </w:r>
      <w:r w:rsidR="002948A6" w:rsidRPr="00423598">
        <w:rPr>
          <w:lang w:val="en-GB"/>
        </w:rPr>
        <w:t xml:space="preserve"> further</w:t>
      </w:r>
      <w:r w:rsidRPr="00423598">
        <w:rPr>
          <w:lang w:val="en-GB"/>
        </w:rPr>
        <w:t xml:space="preserve"> investigative action by the </w:t>
      </w:r>
      <w:r w:rsidR="00622236" w:rsidRPr="00423598">
        <w:rPr>
          <w:lang w:val="en-GB"/>
        </w:rPr>
        <w:t xml:space="preserve">UNMIK Police </w:t>
      </w:r>
      <w:r w:rsidRPr="00423598">
        <w:rPr>
          <w:lang w:val="en-GB"/>
        </w:rPr>
        <w:t xml:space="preserve">(see § </w:t>
      </w:r>
      <w:r w:rsidR="00622236" w:rsidRPr="00423598">
        <w:t>28</w:t>
      </w:r>
      <w:r w:rsidRPr="00423598">
        <w:t xml:space="preserve"> </w:t>
      </w:r>
      <w:r w:rsidRPr="00423598">
        <w:rPr>
          <w:lang w:val="en-GB"/>
        </w:rPr>
        <w:t xml:space="preserve">above). The Panel recalls in this regard its position in relation </w:t>
      </w:r>
      <w:r w:rsidRPr="00423598">
        <w:t>to</w:t>
      </w:r>
      <w:r w:rsidRPr="00423598">
        <w:rPr>
          <w:lang w:val="en-GB"/>
        </w:rPr>
        <w:t xml:space="preserve"> the categorisation of cases into “active” and “inactive”, that any </w:t>
      </w:r>
      <w:r w:rsidRPr="00423598">
        <w:rPr>
          <w:bCs/>
          <w:lang w:val="en-GB"/>
        </w:rPr>
        <w:t xml:space="preserve">“categorisation of an investigation should take place only after the </w:t>
      </w:r>
      <w:r w:rsidRPr="00423598">
        <w:rPr>
          <w:lang w:val="en-GB"/>
        </w:rPr>
        <w:t>minimum</w:t>
      </w:r>
      <w:r w:rsidRPr="00423598">
        <w:rPr>
          <w:bCs/>
          <w:lang w:val="en-GB"/>
        </w:rPr>
        <w:t xml:space="preserve"> </w:t>
      </w:r>
      <w:r w:rsidRPr="00423598">
        <w:t>possible</w:t>
      </w:r>
      <w:r w:rsidRPr="00423598">
        <w:rPr>
          <w:bCs/>
          <w:lang w:val="en-GB"/>
        </w:rPr>
        <w:t xml:space="preserve"> investigative actions have been undertaken and obtainable information has been collected and analysed” </w:t>
      </w:r>
      <w:r w:rsidRPr="00423598">
        <w:rPr>
          <w:lang w:val="en-GB"/>
        </w:rPr>
        <w:t xml:space="preserve">(see e.g. HRAP, </w:t>
      </w:r>
      <w:r w:rsidRPr="00423598">
        <w:rPr>
          <w:i/>
          <w:lang w:val="en-GB"/>
        </w:rPr>
        <w:t>B.A</w:t>
      </w:r>
      <w:r w:rsidRPr="00423598">
        <w:rPr>
          <w:lang w:val="en-GB"/>
        </w:rPr>
        <w:t>., no. 52/09, opinion of 14 February 2013, § 82).</w:t>
      </w:r>
      <w:r w:rsidRPr="00423598">
        <w:rPr>
          <w:bCs/>
          <w:lang w:val="en-GB"/>
        </w:rPr>
        <w:t xml:space="preserve"> In this case, such prioritisation should not have been made at the earliest stages, before the complainant and the witnesses had been interviewed about the circumstances of the killing, and all obtainable evidence had been collected.</w:t>
      </w:r>
      <w:r w:rsidR="00423598" w:rsidRPr="00423598">
        <w:rPr>
          <w:color w:val="000000" w:themeColor="text1"/>
          <w:lang w:val="en-GB"/>
        </w:rPr>
        <w:t xml:space="preserve"> </w:t>
      </w:r>
      <w:r w:rsidR="00423598" w:rsidRPr="00423598">
        <w:rPr>
          <w:color w:val="000000" w:themeColor="text1"/>
          <w:lang w:val="en-GB"/>
        </w:rPr>
        <w:t xml:space="preserve">In this respect, the Panel also recalls the position of the European Court that </w:t>
      </w:r>
      <w:r w:rsidR="00423598" w:rsidRPr="00423598">
        <w:rPr>
          <w:lang w:val="en-GB"/>
        </w:rPr>
        <w:t>“</w:t>
      </w:r>
      <w:r w:rsidR="00423598" w:rsidRPr="00423598">
        <w:rPr>
          <w:lang w:val="en-GB"/>
        </w:rPr>
        <w:t xml:space="preserve">the authorities </w:t>
      </w:r>
      <w:r w:rsidR="00423598" w:rsidRPr="00423598">
        <w:rPr>
          <w:rStyle w:val="sb8d990e2"/>
        </w:rPr>
        <w:t xml:space="preserve">always make a serious attempt to find out what happened and should not rely on hasty or ill-founded conclusions to close their investigation” (see § </w:t>
      </w:r>
      <w:r w:rsidR="00423598">
        <w:rPr>
          <w:rStyle w:val="sb8d990e2"/>
        </w:rPr>
        <w:fldChar w:fldCharType="begin"/>
      </w:r>
      <w:r w:rsidR="00423598">
        <w:rPr>
          <w:rStyle w:val="sb8d990e2"/>
        </w:rPr>
        <w:instrText xml:space="preserve"> REF _Ref401245516 \r \h </w:instrText>
      </w:r>
      <w:r w:rsidR="00423598">
        <w:rPr>
          <w:rStyle w:val="sb8d990e2"/>
        </w:rPr>
      </w:r>
      <w:r w:rsidR="00423598">
        <w:rPr>
          <w:rStyle w:val="sb8d990e2"/>
        </w:rPr>
        <w:fldChar w:fldCharType="separate"/>
      </w:r>
      <w:r w:rsidR="00423598">
        <w:rPr>
          <w:rStyle w:val="sb8d990e2"/>
        </w:rPr>
        <w:t>74</w:t>
      </w:r>
      <w:r w:rsidR="00423598">
        <w:rPr>
          <w:rStyle w:val="sb8d990e2"/>
        </w:rPr>
        <w:fldChar w:fldCharType="end"/>
      </w:r>
      <w:r w:rsidR="00423598">
        <w:rPr>
          <w:rStyle w:val="sb8d990e2"/>
        </w:rPr>
        <w:t xml:space="preserve"> </w:t>
      </w:r>
      <w:r w:rsidR="00423598" w:rsidRPr="00423598">
        <w:rPr>
          <w:rStyle w:val="sb8d990e2"/>
        </w:rPr>
        <w:t>above).</w:t>
      </w:r>
    </w:p>
    <w:p w:rsidR="003E3F85" w:rsidRPr="00423598" w:rsidRDefault="003E3F85" w:rsidP="00062401">
      <w:pPr>
        <w:tabs>
          <w:tab w:val="left" w:pos="709"/>
        </w:tabs>
        <w:suppressAutoHyphens/>
        <w:autoSpaceDE w:val="0"/>
        <w:jc w:val="both"/>
        <w:rPr>
          <w:lang w:val="en-GB"/>
        </w:rPr>
      </w:pPr>
    </w:p>
    <w:p w:rsidR="003E3F85" w:rsidRPr="00423598" w:rsidRDefault="003E3F85" w:rsidP="00C91261">
      <w:pPr>
        <w:pStyle w:val="ListParagraph"/>
        <w:numPr>
          <w:ilvl w:val="0"/>
          <w:numId w:val="2"/>
        </w:numPr>
        <w:tabs>
          <w:tab w:val="clear" w:pos="360"/>
          <w:tab w:val="num" w:pos="450"/>
        </w:tabs>
        <w:autoSpaceDE w:val="0"/>
        <w:ind w:left="450" w:hanging="450"/>
        <w:jc w:val="both"/>
        <w:rPr>
          <w:lang w:val="en-GB"/>
        </w:rPr>
      </w:pPr>
      <w:r w:rsidRPr="00423598">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423598">
        <w:rPr>
          <w:bCs/>
          <w:lang w:val="en-GB"/>
        </w:rPr>
        <w:t>Thus</w:t>
      </w:r>
      <w:r w:rsidRPr="00423598">
        <w:rPr>
          <w:lang w:val="en-GB"/>
        </w:rPr>
        <w:t xml:space="preserve">, in accordance with the continuing obligation to investigate (see § </w:t>
      </w:r>
      <w:r w:rsidRPr="00423598">
        <w:fldChar w:fldCharType="begin"/>
      </w:r>
      <w:r w:rsidRPr="00423598">
        <w:instrText xml:space="preserve"> REF _Ref373950745 \r \h  \* MERGEFORMAT </w:instrText>
      </w:r>
      <w:r w:rsidRPr="00423598">
        <w:fldChar w:fldCharType="separate"/>
      </w:r>
      <w:r w:rsidR="00423598" w:rsidRPr="00423598">
        <w:rPr>
          <w:lang w:val="en-GB"/>
        </w:rPr>
        <w:t>76</w:t>
      </w:r>
      <w:r w:rsidRPr="00423598">
        <w:fldChar w:fldCharType="end"/>
      </w:r>
      <w:r w:rsidRPr="00423598">
        <w:rPr>
          <w:lang w:val="en-GB"/>
        </w:rPr>
        <w:t xml:space="preserve"> above), the assessment of the whole investigation is brought within the period of the Panel’s jurisdiction.</w:t>
      </w:r>
    </w:p>
    <w:p w:rsidR="003E3F85" w:rsidRPr="00423598" w:rsidRDefault="003E3F85" w:rsidP="003E3F85">
      <w:pPr>
        <w:tabs>
          <w:tab w:val="left" w:pos="709"/>
        </w:tabs>
        <w:suppressAutoHyphens/>
        <w:autoSpaceDE w:val="0"/>
        <w:ind w:left="450"/>
        <w:jc w:val="both"/>
        <w:rPr>
          <w:lang w:val="en-GB"/>
        </w:rPr>
      </w:pPr>
    </w:p>
    <w:p w:rsidR="003E3F85" w:rsidRPr="00423598" w:rsidRDefault="003E3F85" w:rsidP="00C91261">
      <w:pPr>
        <w:pStyle w:val="ListParagraph"/>
        <w:numPr>
          <w:ilvl w:val="0"/>
          <w:numId w:val="2"/>
        </w:numPr>
        <w:tabs>
          <w:tab w:val="clear" w:pos="360"/>
          <w:tab w:val="num" w:pos="450"/>
        </w:tabs>
        <w:autoSpaceDE w:val="0"/>
        <w:ind w:left="450" w:hanging="450"/>
        <w:jc w:val="both"/>
        <w:rPr>
          <w:lang w:val="en-GB"/>
        </w:rPr>
      </w:pPr>
      <w:r w:rsidRPr="00423598">
        <w:rPr>
          <w:lang w:val="en-GB"/>
        </w:rPr>
        <w:t xml:space="preserve">In addition, the Panel considers that as those responsible for the crime had not been identified, UNMIK Police was obliged to use the means at their disposal to regularly review the progress of the </w:t>
      </w:r>
      <w:r w:rsidRPr="00423598">
        <w:rPr>
          <w:bCs/>
          <w:lang w:val="en-GB"/>
        </w:rPr>
        <w:t>investigation</w:t>
      </w:r>
      <w:r w:rsidRPr="00423598">
        <w:rPr>
          <w:lang w:val="en-GB"/>
        </w:rPr>
        <w:t xml:space="preserve"> to </w:t>
      </w:r>
      <w:r w:rsidRPr="00423598">
        <w:t>ensure</w:t>
      </w:r>
      <w:r w:rsidRPr="00423598">
        <w:rPr>
          <w:lang w:val="en-GB"/>
        </w:rPr>
        <w:t xml:space="preserve"> that nothing had been overlooked and that any new evidence had been considered, as well as to inform the relatives regarding the progress of this investigation.</w:t>
      </w:r>
    </w:p>
    <w:p w:rsidR="003E3F85" w:rsidRPr="00423598" w:rsidRDefault="003E3F85" w:rsidP="003E3F85">
      <w:pPr>
        <w:tabs>
          <w:tab w:val="left" w:pos="709"/>
        </w:tabs>
        <w:suppressAutoHyphens/>
        <w:autoSpaceDE w:val="0"/>
        <w:ind w:left="450"/>
        <w:jc w:val="both"/>
        <w:rPr>
          <w:lang w:val="en-GB"/>
        </w:rPr>
      </w:pPr>
    </w:p>
    <w:p w:rsidR="003E3F85" w:rsidRPr="00423598" w:rsidRDefault="003E3F85" w:rsidP="003E3F85">
      <w:pPr>
        <w:pStyle w:val="ListParagraph"/>
        <w:numPr>
          <w:ilvl w:val="0"/>
          <w:numId w:val="2"/>
        </w:numPr>
        <w:tabs>
          <w:tab w:val="clear" w:pos="360"/>
          <w:tab w:val="num" w:pos="450"/>
          <w:tab w:val="left" w:pos="709"/>
        </w:tabs>
        <w:autoSpaceDE w:val="0"/>
        <w:ind w:left="450" w:hanging="450"/>
        <w:jc w:val="both"/>
        <w:rPr>
          <w:color w:val="000000" w:themeColor="text1"/>
          <w:lang w:val="en-GB"/>
        </w:rPr>
      </w:pPr>
      <w:bookmarkStart w:id="79" w:name="_Ref394500901"/>
      <w:r w:rsidRPr="00423598">
        <w:rPr>
          <w:lang w:val="en-GB"/>
        </w:rPr>
        <w:t xml:space="preserve">The </w:t>
      </w:r>
      <w:r w:rsidRPr="00423598">
        <w:rPr>
          <w:bCs/>
          <w:lang w:val="en-GB"/>
        </w:rPr>
        <w:t>Panel</w:t>
      </w:r>
      <w:r w:rsidRPr="00423598">
        <w:rPr>
          <w:lang w:val="en-GB"/>
        </w:rPr>
        <w:t xml:space="preserve"> </w:t>
      </w:r>
      <w:r w:rsidR="00062401" w:rsidRPr="00423598">
        <w:rPr>
          <w:lang w:val="en-GB"/>
        </w:rPr>
        <w:t>notes</w:t>
      </w:r>
      <w:r w:rsidRPr="00423598">
        <w:rPr>
          <w:lang w:val="en-GB"/>
        </w:rPr>
        <w:t xml:space="preserve"> that t</w:t>
      </w:r>
      <w:r w:rsidRPr="00423598">
        <w:rPr>
          <w:color w:val="000000" w:themeColor="text1"/>
          <w:lang w:val="en-GB"/>
        </w:rPr>
        <w:t xml:space="preserve">here is no evidence presented in the file that any investigative activity was </w:t>
      </w:r>
      <w:r w:rsidRPr="00423598">
        <w:rPr>
          <w:lang w:val="en-GB"/>
        </w:rPr>
        <w:t>accomplished</w:t>
      </w:r>
      <w:r w:rsidR="007C303C" w:rsidRPr="00423598">
        <w:rPr>
          <w:color w:val="000000" w:themeColor="text1"/>
          <w:lang w:val="en-GB"/>
        </w:rPr>
        <w:t>,</w:t>
      </w:r>
      <w:r w:rsidR="00062401" w:rsidRPr="00423598">
        <w:rPr>
          <w:color w:val="000000" w:themeColor="text1"/>
          <w:lang w:val="en-GB"/>
        </w:rPr>
        <w:t xml:space="preserve"> or even contemplated</w:t>
      </w:r>
      <w:bookmarkEnd w:id="79"/>
      <w:r w:rsidR="002948A6" w:rsidRPr="00423598">
        <w:rPr>
          <w:color w:val="000000" w:themeColor="text1"/>
          <w:lang w:val="en-GB"/>
        </w:rPr>
        <w:t xml:space="preserve">. </w:t>
      </w:r>
      <w:r w:rsidR="00062401" w:rsidRPr="00423598">
        <w:rPr>
          <w:lang w:val="en-GB"/>
        </w:rPr>
        <w:t>Further</w:t>
      </w:r>
      <w:r w:rsidRPr="00423598">
        <w:rPr>
          <w:lang w:val="en-GB"/>
        </w:rPr>
        <w:t xml:space="preserve">, the </w:t>
      </w:r>
      <w:r w:rsidRPr="00423598">
        <w:rPr>
          <w:bCs/>
          <w:lang w:val="en-GB"/>
        </w:rPr>
        <w:t>Panel</w:t>
      </w:r>
      <w:r w:rsidRPr="00423598">
        <w:rPr>
          <w:lang w:val="en-GB"/>
        </w:rPr>
        <w:t xml:space="preserve"> </w:t>
      </w:r>
      <w:r w:rsidR="00062401" w:rsidRPr="00423598">
        <w:rPr>
          <w:lang w:val="en-GB"/>
        </w:rPr>
        <w:t>notes with concern</w:t>
      </w:r>
      <w:r w:rsidRPr="00423598">
        <w:rPr>
          <w:lang w:val="en-GB"/>
        </w:rPr>
        <w:t xml:space="preserve"> that</w:t>
      </w:r>
      <w:r w:rsidR="00062401" w:rsidRPr="00423598">
        <w:rPr>
          <w:lang w:val="en-GB"/>
        </w:rPr>
        <w:t xml:space="preserve">, in an apparent deviation </w:t>
      </w:r>
      <w:r w:rsidR="0049115E" w:rsidRPr="00423598">
        <w:rPr>
          <w:lang w:val="en-GB"/>
        </w:rPr>
        <w:t xml:space="preserve">from </w:t>
      </w:r>
      <w:r w:rsidR="00062401" w:rsidRPr="00423598">
        <w:rPr>
          <w:lang w:val="en-GB"/>
        </w:rPr>
        <w:t>normal WCIU procedure,</w:t>
      </w:r>
      <w:r w:rsidRPr="00423598">
        <w:rPr>
          <w:lang w:val="en-GB"/>
        </w:rPr>
        <w:t xml:space="preserve"> the</w:t>
      </w:r>
      <w:r w:rsidR="006B7095" w:rsidRPr="00423598">
        <w:rPr>
          <w:lang w:val="en-GB"/>
        </w:rPr>
        <w:t>re is no evidence that the</w:t>
      </w:r>
      <w:r w:rsidRPr="00423598">
        <w:rPr>
          <w:lang w:val="en-GB"/>
        </w:rPr>
        <w:t xml:space="preserve"> investigation was</w:t>
      </w:r>
      <w:r w:rsidR="006B7095" w:rsidRPr="00423598">
        <w:rPr>
          <w:lang w:val="en-GB"/>
        </w:rPr>
        <w:t xml:space="preserve"> ever</w:t>
      </w:r>
      <w:r w:rsidRPr="00423598">
        <w:rPr>
          <w:lang w:val="en-GB"/>
        </w:rPr>
        <w:t xml:space="preserve"> reviewed</w:t>
      </w:r>
      <w:r w:rsidR="006B7095" w:rsidRPr="00423598">
        <w:rPr>
          <w:lang w:val="en-GB"/>
        </w:rPr>
        <w:t xml:space="preserve"> by the</w:t>
      </w:r>
      <w:r w:rsidRPr="00423598">
        <w:rPr>
          <w:lang w:val="en-GB"/>
        </w:rPr>
        <w:t xml:space="preserve"> </w:t>
      </w:r>
      <w:r w:rsidR="006B7095" w:rsidRPr="00423598">
        <w:rPr>
          <w:lang w:val="en-GB"/>
        </w:rPr>
        <w:t xml:space="preserve">WCIU, </w:t>
      </w:r>
      <w:r w:rsidR="00062401" w:rsidRPr="00423598">
        <w:rPr>
          <w:lang w:val="en-GB"/>
        </w:rPr>
        <w:t xml:space="preserve">or </w:t>
      </w:r>
      <w:r w:rsidRPr="00423598">
        <w:rPr>
          <w:color w:val="000000" w:themeColor="text1"/>
          <w:lang w:val="en-GB"/>
        </w:rPr>
        <w:t xml:space="preserve">that any further </w:t>
      </w:r>
      <w:r w:rsidR="00062401" w:rsidRPr="00423598">
        <w:rPr>
          <w:color w:val="000000" w:themeColor="text1"/>
          <w:lang w:val="en-GB"/>
        </w:rPr>
        <w:t xml:space="preserve">review </w:t>
      </w:r>
      <w:r w:rsidR="00BD43B1" w:rsidRPr="00423598">
        <w:rPr>
          <w:color w:val="000000" w:themeColor="text1"/>
          <w:lang w:val="en-GB"/>
        </w:rPr>
        <w:t>was contemplated</w:t>
      </w:r>
      <w:r w:rsidRPr="00423598">
        <w:rPr>
          <w:color w:val="000000" w:themeColor="text1"/>
          <w:lang w:val="en-GB"/>
        </w:rPr>
        <w:t xml:space="preserve">. </w:t>
      </w:r>
    </w:p>
    <w:p w:rsidR="00622236" w:rsidRPr="00423598" w:rsidRDefault="00622236" w:rsidP="00622236">
      <w:pPr>
        <w:tabs>
          <w:tab w:val="left" w:pos="709"/>
        </w:tabs>
        <w:autoSpaceDE w:val="0"/>
        <w:jc w:val="both"/>
        <w:rPr>
          <w:color w:val="000000" w:themeColor="text1"/>
          <w:lang w:val="en-GB"/>
        </w:rPr>
      </w:pPr>
    </w:p>
    <w:p w:rsidR="003E3F85" w:rsidRPr="00423598" w:rsidRDefault="003E3F85" w:rsidP="00C91261">
      <w:pPr>
        <w:pStyle w:val="ListParagraph"/>
        <w:numPr>
          <w:ilvl w:val="0"/>
          <w:numId w:val="2"/>
        </w:numPr>
        <w:tabs>
          <w:tab w:val="clear" w:pos="360"/>
          <w:tab w:val="num" w:pos="450"/>
        </w:tabs>
        <w:autoSpaceDE w:val="0"/>
        <w:ind w:left="450" w:hanging="450"/>
        <w:jc w:val="both"/>
        <w:rPr>
          <w:lang w:val="en-GB"/>
        </w:rPr>
      </w:pPr>
      <w:r w:rsidRPr="00423598">
        <w:rPr>
          <w:lang w:val="en-GB"/>
        </w:rPr>
        <w:t xml:space="preserve">The apparent lack of any </w:t>
      </w:r>
      <w:r w:rsidRPr="00423598">
        <w:rPr>
          <w:bCs/>
        </w:rPr>
        <w:t xml:space="preserve">immediate </w:t>
      </w:r>
      <w:r w:rsidRPr="00423598">
        <w:rPr>
          <w:lang w:val="en-GB"/>
        </w:rPr>
        <w:t xml:space="preserve">reaction from UNMIK Police, and of any adequate action at later stages, may have suggested to the perpetrators that the authorities were either </w:t>
      </w:r>
      <w:r w:rsidRPr="00423598">
        <w:rPr>
          <w:lang w:val="en-GB"/>
        </w:rPr>
        <w:lastRenderedPageBreak/>
        <w:t>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3E3F85" w:rsidRPr="00423598" w:rsidRDefault="003E3F85" w:rsidP="003E3F85">
      <w:pPr>
        <w:tabs>
          <w:tab w:val="left" w:pos="709"/>
        </w:tabs>
        <w:suppressAutoHyphens/>
        <w:autoSpaceDE w:val="0"/>
        <w:ind w:left="450"/>
        <w:jc w:val="both"/>
        <w:rPr>
          <w:lang w:val="en-GB"/>
        </w:rPr>
      </w:pPr>
    </w:p>
    <w:p w:rsidR="003E3F85" w:rsidRPr="00423598" w:rsidRDefault="003E3F85" w:rsidP="00C91261">
      <w:pPr>
        <w:pStyle w:val="ListParagraph"/>
        <w:numPr>
          <w:ilvl w:val="0"/>
          <w:numId w:val="2"/>
        </w:numPr>
        <w:tabs>
          <w:tab w:val="clear" w:pos="360"/>
          <w:tab w:val="num" w:pos="450"/>
        </w:tabs>
        <w:autoSpaceDE w:val="0"/>
        <w:ind w:left="450" w:hanging="450"/>
        <w:jc w:val="both"/>
        <w:rPr>
          <w:lang w:val="en-GB"/>
        </w:rPr>
      </w:pPr>
      <w:r w:rsidRPr="00423598">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423598">
        <w:fldChar w:fldCharType="begin"/>
      </w:r>
      <w:r w:rsidRPr="00423598">
        <w:instrText xml:space="preserve"> REF _Ref366239979 \r \h  \* MERGEFORMAT </w:instrText>
      </w:r>
      <w:r w:rsidRPr="00423598">
        <w:fldChar w:fldCharType="separate"/>
      </w:r>
      <w:r w:rsidR="00423598" w:rsidRPr="00423598">
        <w:rPr>
          <w:lang w:val="en-GB"/>
        </w:rPr>
        <w:t>73</w:t>
      </w:r>
      <w:r w:rsidRPr="00423598">
        <w:fldChar w:fldCharType="end"/>
      </w:r>
      <w:r w:rsidRPr="00423598">
        <w:rPr>
          <w:lang w:val="en-GB"/>
        </w:rPr>
        <w:t xml:space="preserve"> above), as required by Article 2 of the ECHR.</w:t>
      </w:r>
    </w:p>
    <w:p w:rsidR="003E3F85" w:rsidRPr="00423598" w:rsidRDefault="003E3F85" w:rsidP="003E3F85">
      <w:pPr>
        <w:tabs>
          <w:tab w:val="left" w:pos="709"/>
        </w:tabs>
        <w:suppressAutoHyphens/>
        <w:autoSpaceDE w:val="0"/>
        <w:ind w:left="450"/>
        <w:jc w:val="both"/>
        <w:rPr>
          <w:lang w:val="en-GB"/>
        </w:rPr>
      </w:pPr>
    </w:p>
    <w:p w:rsidR="003E3F85" w:rsidRPr="00423598" w:rsidRDefault="003E3F85" w:rsidP="003B3907">
      <w:pPr>
        <w:numPr>
          <w:ilvl w:val="0"/>
          <w:numId w:val="2"/>
        </w:numPr>
        <w:tabs>
          <w:tab w:val="clear" w:pos="360"/>
          <w:tab w:val="left" w:pos="709"/>
        </w:tabs>
        <w:suppressAutoHyphens/>
        <w:autoSpaceDE w:val="0"/>
        <w:ind w:left="450" w:hanging="450"/>
        <w:jc w:val="both"/>
      </w:pPr>
      <w:r w:rsidRPr="00423598">
        <w:t xml:space="preserve">As </w:t>
      </w:r>
      <w:r w:rsidRPr="00423598">
        <w:rPr>
          <w:lang w:val="en-GB"/>
        </w:rPr>
        <w:t>concerns</w:t>
      </w:r>
      <w:r w:rsidRPr="00423598">
        <w:rPr>
          <w:lang w:val="en-GB" w:eastAsia="en-GB"/>
        </w:rPr>
        <w:t xml:space="preserve"> the requirement of </w:t>
      </w:r>
      <w:r w:rsidRPr="00423598">
        <w:t>public</w:t>
      </w:r>
      <w:r w:rsidRPr="00423598">
        <w:rPr>
          <w:lang w:val="en-GB" w:eastAsia="en-GB"/>
        </w:rPr>
        <w:t xml:space="preserve"> scrutiny, the Panel recalls that Article 2 also requires </w:t>
      </w:r>
      <w:r w:rsidRPr="00423598">
        <w:rPr>
          <w:lang w:val="en-GB"/>
        </w:rPr>
        <w:t>the</w:t>
      </w:r>
      <w:r w:rsidRPr="00423598">
        <w:rPr>
          <w:lang w:val="en-GB" w:eastAsia="en-GB"/>
        </w:rPr>
        <w:t xml:space="preserve"> victims’ next-of-kin to be involved in the investigation to the extent necessary to safeguard his or her legitimate interests.</w:t>
      </w:r>
    </w:p>
    <w:p w:rsidR="003E3F85" w:rsidRPr="00423598" w:rsidRDefault="003E3F85" w:rsidP="003E3F85">
      <w:pPr>
        <w:tabs>
          <w:tab w:val="left" w:pos="709"/>
        </w:tabs>
        <w:suppressAutoHyphens/>
        <w:autoSpaceDE w:val="0"/>
        <w:ind w:left="450"/>
        <w:jc w:val="both"/>
      </w:pPr>
    </w:p>
    <w:p w:rsidR="003E3F85" w:rsidRPr="00423598" w:rsidRDefault="004F45E5" w:rsidP="004F45E5">
      <w:pPr>
        <w:numPr>
          <w:ilvl w:val="0"/>
          <w:numId w:val="2"/>
        </w:numPr>
        <w:tabs>
          <w:tab w:val="left" w:pos="709"/>
        </w:tabs>
        <w:suppressAutoHyphens/>
        <w:autoSpaceDE w:val="0"/>
        <w:jc w:val="both"/>
      </w:pPr>
      <w:r w:rsidRPr="00423598">
        <w:t xml:space="preserve">The SRSG argues that the complainant had “regular and first hand access to UNMIK Police sources and could therefore be kept continuously abreast of all the investigative efforts deployed by UNMIK into…her husband’s case….On the other hand, the Complainant would have clearly been in a privileged position to provide the UNMIK Police with any other relevant information and investigation leads at any point in time, at least in 2001 and 2002 However, the investigation files made available to UNMIK reveal an overall dearth of information” (see § </w:t>
      </w:r>
      <w:r w:rsidRPr="00423598">
        <w:fldChar w:fldCharType="begin"/>
      </w:r>
      <w:r w:rsidRPr="00423598">
        <w:instrText xml:space="preserve"> REF _Ref400968451 \r \h </w:instrText>
      </w:r>
      <w:r w:rsidR="00423598" w:rsidRPr="00423598">
        <w:instrText xml:space="preserve"> \* MERGEFORMAT </w:instrText>
      </w:r>
      <w:r w:rsidRPr="00423598">
        <w:fldChar w:fldCharType="separate"/>
      </w:r>
      <w:r w:rsidR="00423598">
        <w:t>55</w:t>
      </w:r>
      <w:r w:rsidRPr="00423598">
        <w:fldChar w:fldCharType="end"/>
      </w:r>
      <w:r w:rsidRPr="00423598">
        <w:t xml:space="preserve"> above). </w:t>
      </w:r>
      <w:r w:rsidR="001B768F" w:rsidRPr="00423598">
        <w:t>T</w:t>
      </w:r>
      <w:r w:rsidR="002948A6" w:rsidRPr="00423598">
        <w:t>he</w:t>
      </w:r>
      <w:r w:rsidR="001B768F" w:rsidRPr="00423598">
        <w:t xml:space="preserve"> Panel notes that the</w:t>
      </w:r>
      <w:r w:rsidRPr="00423598">
        <w:t xml:space="preserve"> “overall dearth of information” in the</w:t>
      </w:r>
      <w:r w:rsidR="002948A6" w:rsidRPr="00423598">
        <w:t xml:space="preserve"> investigative file</w:t>
      </w:r>
      <w:r w:rsidRPr="00423598">
        <w:t xml:space="preserve"> in fact shows</w:t>
      </w:r>
      <w:r w:rsidR="002948A6" w:rsidRPr="00423598">
        <w:t xml:space="preserve"> that</w:t>
      </w:r>
      <w:r w:rsidRPr="00423598">
        <w:t xml:space="preserve"> while</w:t>
      </w:r>
      <w:r w:rsidR="003E3F85" w:rsidRPr="00423598">
        <w:t xml:space="preserve"> </w:t>
      </w:r>
      <w:r w:rsidR="002948A6" w:rsidRPr="00423598">
        <w:t>UNMIK Police</w:t>
      </w:r>
      <w:r w:rsidRPr="00423598">
        <w:t xml:space="preserve"> apparently were in regular contact with the complainant concerning the specifics regarding the handover of </w:t>
      </w:r>
      <w:r w:rsidRPr="00423598">
        <w:rPr>
          <w:lang w:val="en-GB"/>
        </w:rPr>
        <w:t xml:space="preserve">Mr Rade Budimir’s mortal remains, </w:t>
      </w:r>
      <w:r w:rsidR="00423598" w:rsidRPr="00423598">
        <w:rPr>
          <w:lang w:val="en-GB"/>
        </w:rPr>
        <w:t xml:space="preserve">nevertheless </w:t>
      </w:r>
      <w:r w:rsidRPr="00423598">
        <w:rPr>
          <w:lang w:val="en-GB"/>
        </w:rPr>
        <w:t>UNMIK Police evidently did not take any investigative information</w:t>
      </w:r>
      <w:r w:rsidR="00954A3E" w:rsidRPr="00423598">
        <w:rPr>
          <w:lang w:val="en-GB"/>
        </w:rPr>
        <w:t xml:space="preserve"> from her.</w:t>
      </w:r>
      <w:r w:rsidRPr="00423598">
        <w:rPr>
          <w:lang w:val="en-GB"/>
        </w:rPr>
        <w:t xml:space="preserve"> The investigative file does not contain any formal witness statements, neither from the complainant nor from Mr. Rade Budimir’s brother, who may have had pertinent information</w:t>
      </w:r>
      <w:r w:rsidR="00622236" w:rsidRPr="00423598">
        <w:rPr>
          <w:lang w:val="en-GB"/>
        </w:rPr>
        <w:t>.</w:t>
      </w:r>
      <w:r w:rsidR="00954A3E" w:rsidRPr="00423598">
        <w:rPr>
          <w:lang w:val="en-GB"/>
        </w:rPr>
        <w:t xml:space="preserve"> The Panel</w:t>
      </w:r>
      <w:r w:rsidR="00423598" w:rsidRPr="00423598">
        <w:rPr>
          <w:lang w:val="en-GB"/>
        </w:rPr>
        <w:t xml:space="preserve"> also</w:t>
      </w:r>
      <w:r w:rsidR="00954A3E" w:rsidRPr="00423598">
        <w:rPr>
          <w:lang w:val="en-GB"/>
        </w:rPr>
        <w:t xml:space="preserve"> notes that it appears from the file that the initiative to obtain information came from the complainant and not from UNMIK. </w:t>
      </w:r>
      <w:r w:rsidR="003E3F85" w:rsidRPr="00423598">
        <w:rPr>
          <w:lang w:val="en-GB"/>
        </w:rPr>
        <w:t>The Panel therefore considers that the investigation was not open to any public scrutiny, as required by Article 2 of the ECHR.</w:t>
      </w:r>
    </w:p>
    <w:p w:rsidR="003E3F85" w:rsidRPr="00423598" w:rsidRDefault="003E3F85" w:rsidP="003E3F85">
      <w:pPr>
        <w:pStyle w:val="ListParagraph"/>
        <w:rPr>
          <w:lang w:val="en-GB"/>
        </w:rPr>
      </w:pPr>
    </w:p>
    <w:p w:rsidR="003E3F85" w:rsidRPr="00423598" w:rsidRDefault="003E3F85" w:rsidP="003B3907">
      <w:pPr>
        <w:numPr>
          <w:ilvl w:val="0"/>
          <w:numId w:val="2"/>
        </w:numPr>
        <w:tabs>
          <w:tab w:val="clear" w:pos="360"/>
          <w:tab w:val="left" w:pos="709"/>
        </w:tabs>
        <w:suppressAutoHyphens/>
        <w:autoSpaceDE w:val="0"/>
        <w:ind w:left="450" w:hanging="450"/>
        <w:jc w:val="both"/>
        <w:rPr>
          <w:lang w:val="en-GB"/>
        </w:rPr>
      </w:pPr>
      <w:r w:rsidRPr="00423598">
        <w:rPr>
          <w:lang w:val="en-GB"/>
        </w:rPr>
        <w:t xml:space="preserve">In light of the </w:t>
      </w:r>
      <w:r w:rsidRPr="00423598">
        <w:rPr>
          <w:bCs/>
        </w:rPr>
        <w:t>deficiencies</w:t>
      </w:r>
      <w:r w:rsidRPr="00423598">
        <w:rPr>
          <w:lang w:val="en-GB"/>
        </w:rPr>
        <w:t xml:space="preserve"> and shortcomings described above, the Panel concludes that UNMIK failed to carry out an </w:t>
      </w:r>
      <w:r w:rsidRPr="00423598">
        <w:rPr>
          <w:lang w:val="en-GB" w:eastAsia="en-GB"/>
        </w:rPr>
        <w:t>effective</w:t>
      </w:r>
      <w:r w:rsidRPr="00423598">
        <w:rPr>
          <w:lang w:val="en-GB"/>
        </w:rPr>
        <w:t xml:space="preserve"> investigation into the </w:t>
      </w:r>
      <w:r w:rsidR="00954A3E" w:rsidRPr="00423598">
        <w:rPr>
          <w:bCs/>
          <w:lang w:val="en-GB"/>
        </w:rPr>
        <w:t>abduction</w:t>
      </w:r>
      <w:r w:rsidR="00622236" w:rsidRPr="00423598">
        <w:rPr>
          <w:bCs/>
          <w:lang w:val="en-GB"/>
        </w:rPr>
        <w:t xml:space="preserve"> and </w:t>
      </w:r>
      <w:r w:rsidR="00423598" w:rsidRPr="00423598">
        <w:rPr>
          <w:bCs/>
          <w:lang w:val="en-GB"/>
        </w:rPr>
        <w:t>killing</w:t>
      </w:r>
      <w:r w:rsidRPr="00423598">
        <w:rPr>
          <w:bCs/>
          <w:lang w:val="en-GB"/>
        </w:rPr>
        <w:t xml:space="preserve"> of </w:t>
      </w:r>
      <w:r w:rsidR="00622236" w:rsidRPr="00423598">
        <w:rPr>
          <w:lang w:val="en-GB"/>
        </w:rPr>
        <w:t xml:space="preserve">Mr </w:t>
      </w:r>
      <w:r w:rsidR="004F45E5" w:rsidRPr="00423598">
        <w:t xml:space="preserve">Rade Budimir. </w:t>
      </w:r>
      <w:r w:rsidRPr="00423598">
        <w:rPr>
          <w:lang w:val="en-GB"/>
        </w:rPr>
        <w:t xml:space="preserve">There </w:t>
      </w:r>
      <w:r w:rsidRPr="00423598">
        <w:rPr>
          <w:lang w:val="en-GB" w:eastAsia="en-GB"/>
        </w:rPr>
        <w:t>has</w:t>
      </w:r>
      <w:r w:rsidRPr="00423598">
        <w:rPr>
          <w:lang w:val="en-GB"/>
        </w:rPr>
        <w:t xml:space="preserve"> accordingly been a violation of Article 2, procedural limb, of the ECHR. </w:t>
      </w:r>
    </w:p>
    <w:p w:rsidR="003E3F85" w:rsidRPr="00423598" w:rsidRDefault="003E3F85" w:rsidP="003E3F85">
      <w:pPr>
        <w:tabs>
          <w:tab w:val="left" w:pos="630"/>
          <w:tab w:val="left" w:pos="2790"/>
        </w:tabs>
        <w:suppressAutoHyphens/>
        <w:autoSpaceDE w:val="0"/>
        <w:jc w:val="both"/>
        <w:rPr>
          <w:lang w:val="en-GB"/>
        </w:rPr>
      </w:pPr>
    </w:p>
    <w:p w:rsidR="003E3F85" w:rsidRPr="00423598" w:rsidRDefault="003E3F85" w:rsidP="003E3F85">
      <w:pPr>
        <w:tabs>
          <w:tab w:val="left" w:pos="630"/>
          <w:tab w:val="left" w:pos="2790"/>
        </w:tabs>
        <w:suppressAutoHyphens/>
        <w:autoSpaceDE w:val="0"/>
        <w:jc w:val="both"/>
        <w:rPr>
          <w:lang w:val="en-GB"/>
        </w:rPr>
      </w:pPr>
    </w:p>
    <w:p w:rsidR="003E3F85" w:rsidRPr="00423598" w:rsidRDefault="003E3F85" w:rsidP="003E3F85">
      <w:pPr>
        <w:pStyle w:val="ListParagraph"/>
        <w:ind w:left="0"/>
        <w:rPr>
          <w:b/>
          <w:lang w:val="en-GB"/>
        </w:rPr>
      </w:pPr>
      <w:r w:rsidRPr="00423598">
        <w:rPr>
          <w:b/>
          <w:lang w:val="en-GB"/>
        </w:rPr>
        <w:t>V. CONCLUDING COMMENTS AND RECOMMENDATIONS</w:t>
      </w:r>
    </w:p>
    <w:p w:rsidR="003E3F85" w:rsidRPr="00423598" w:rsidRDefault="003E3F85" w:rsidP="003E3F85">
      <w:pPr>
        <w:rPr>
          <w:lang w:val="en-GB"/>
        </w:rPr>
      </w:pPr>
    </w:p>
    <w:p w:rsidR="003E3F85" w:rsidRPr="00423598" w:rsidRDefault="003E3F85" w:rsidP="003B3907">
      <w:pPr>
        <w:numPr>
          <w:ilvl w:val="0"/>
          <w:numId w:val="2"/>
        </w:numPr>
        <w:tabs>
          <w:tab w:val="clear" w:pos="360"/>
          <w:tab w:val="left" w:pos="709"/>
        </w:tabs>
        <w:suppressAutoHyphens/>
        <w:autoSpaceDE w:val="0"/>
        <w:ind w:left="450" w:hanging="450"/>
        <w:jc w:val="both"/>
        <w:rPr>
          <w:b/>
          <w:bCs/>
          <w:lang w:val="en-GB"/>
        </w:rPr>
      </w:pPr>
      <w:r w:rsidRPr="00423598">
        <w:rPr>
          <w:lang w:val="en-GB"/>
        </w:rPr>
        <w:lastRenderedPageBreak/>
        <w:t>In light of the Panel’s findings in this case, the Panel is of the opinion that some form of reparation is necessary.</w:t>
      </w:r>
    </w:p>
    <w:p w:rsidR="003E3F85" w:rsidRPr="00423598" w:rsidRDefault="003E3F85" w:rsidP="003E3F85">
      <w:pPr>
        <w:autoSpaceDE w:val="0"/>
        <w:jc w:val="both"/>
        <w:rPr>
          <w:b/>
          <w:bCs/>
          <w:lang w:val="en-GB"/>
        </w:rPr>
      </w:pPr>
    </w:p>
    <w:p w:rsidR="003E3F85" w:rsidRPr="00423598" w:rsidRDefault="003E3F85" w:rsidP="003B3907">
      <w:pPr>
        <w:numPr>
          <w:ilvl w:val="0"/>
          <w:numId w:val="2"/>
        </w:numPr>
        <w:tabs>
          <w:tab w:val="clear" w:pos="360"/>
          <w:tab w:val="left" w:pos="709"/>
        </w:tabs>
        <w:suppressAutoHyphens/>
        <w:autoSpaceDE w:val="0"/>
        <w:ind w:left="450" w:hanging="450"/>
        <w:jc w:val="both"/>
        <w:rPr>
          <w:b/>
          <w:bCs/>
          <w:lang w:val="en-GB"/>
        </w:rPr>
      </w:pPr>
      <w:r w:rsidRPr="00423598">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victims and their next-of-kin, in particular the right to have the truth of the matter determined.</w:t>
      </w:r>
    </w:p>
    <w:p w:rsidR="003E3F85" w:rsidRPr="00423598" w:rsidRDefault="003E3F85" w:rsidP="003E3F85">
      <w:pPr>
        <w:rPr>
          <w:lang w:val="en-GB"/>
        </w:rPr>
      </w:pPr>
    </w:p>
    <w:p w:rsidR="003E3F85" w:rsidRPr="00423598" w:rsidRDefault="003E3F85" w:rsidP="003B3907">
      <w:pPr>
        <w:numPr>
          <w:ilvl w:val="0"/>
          <w:numId w:val="2"/>
        </w:numPr>
        <w:tabs>
          <w:tab w:val="clear" w:pos="360"/>
          <w:tab w:val="left" w:pos="709"/>
        </w:tabs>
        <w:suppressAutoHyphens/>
        <w:autoSpaceDE w:val="0"/>
        <w:ind w:left="450" w:hanging="450"/>
        <w:jc w:val="both"/>
        <w:rPr>
          <w:bCs/>
          <w:lang w:val="en-GB"/>
        </w:rPr>
      </w:pPr>
      <w:r w:rsidRPr="00423598">
        <w:rPr>
          <w:bCs/>
          <w:lang w:val="en-GB"/>
        </w:rPr>
        <w:t xml:space="preserve">The </w:t>
      </w:r>
      <w:r w:rsidRPr="00423598">
        <w:rPr>
          <w:lang w:val="en-GB"/>
        </w:rPr>
        <w:t>Panel</w:t>
      </w:r>
      <w:r w:rsidRPr="00423598">
        <w:rPr>
          <w:bCs/>
          <w:lang w:val="en-GB"/>
        </w:rPr>
        <w:t xml:space="preserve"> notes the SRSG’s own concerns that the inadequate resources, especially at the outset of </w:t>
      </w:r>
      <w:r w:rsidRPr="00423598">
        <w:rPr>
          <w:lang w:val="en-GB"/>
        </w:rPr>
        <w:t>UNMIK’s</w:t>
      </w:r>
      <w:r w:rsidRPr="00423598">
        <w:rPr>
          <w:bCs/>
          <w:lang w:val="en-GB"/>
        </w:rPr>
        <w:t xml:space="preserve"> </w:t>
      </w:r>
      <w:r w:rsidRPr="00423598">
        <w:rPr>
          <w:lang w:val="en-GB"/>
        </w:rPr>
        <w:t>mission</w:t>
      </w:r>
      <w:r w:rsidRPr="00423598">
        <w:rPr>
          <w:bCs/>
          <w:lang w:val="en-GB"/>
        </w:rPr>
        <w:t>, made compliance with UNMIK’s human rights obligations difficult to achieve.</w:t>
      </w:r>
    </w:p>
    <w:p w:rsidR="003E3F85" w:rsidRPr="00423598" w:rsidRDefault="003E3F85" w:rsidP="003E3F85">
      <w:pPr>
        <w:rPr>
          <w:lang w:val="en-GB"/>
        </w:rPr>
      </w:pPr>
    </w:p>
    <w:p w:rsidR="003E3F85" w:rsidRPr="00423598" w:rsidRDefault="003E3F85" w:rsidP="003B3907">
      <w:pPr>
        <w:numPr>
          <w:ilvl w:val="0"/>
          <w:numId w:val="2"/>
        </w:numPr>
        <w:tabs>
          <w:tab w:val="clear" w:pos="360"/>
          <w:tab w:val="left" w:pos="709"/>
        </w:tabs>
        <w:suppressAutoHyphens/>
        <w:autoSpaceDE w:val="0"/>
        <w:ind w:left="450" w:hanging="450"/>
        <w:jc w:val="both"/>
        <w:rPr>
          <w:lang w:val="en-GB"/>
        </w:rPr>
      </w:pPr>
      <w:r w:rsidRPr="00423598">
        <w:rPr>
          <w:lang w:val="en-GB"/>
        </w:rPr>
        <w:t xml:space="preserve">It would normally be for UNMIK to take the appropriate measures in order to put an end to the violation noted and to redress as far as possible the effects thereof. However, as the Panel noted above (see § </w:t>
      </w:r>
      <w:r w:rsidRPr="00423598">
        <w:fldChar w:fldCharType="begin"/>
      </w:r>
      <w:r w:rsidRPr="00423598">
        <w:instrText xml:space="preserve"> REF _Ref346123927 \r \h  \* MERGEFORMAT </w:instrText>
      </w:r>
      <w:r w:rsidRPr="00423598">
        <w:fldChar w:fldCharType="separate"/>
      </w:r>
      <w:r w:rsidR="00954A3E" w:rsidRPr="00423598">
        <w:rPr>
          <w:lang w:val="en-GB"/>
        </w:rPr>
        <w:t>17</w:t>
      </w:r>
      <w:r w:rsidRPr="00423598">
        <w:fldChar w:fldCharType="end"/>
      </w:r>
      <w:r w:rsidRPr="00423598">
        <w:rPr>
          <w:lang w:val="en-GB"/>
        </w:rPr>
        <w:t>),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w:t>
      </w:r>
      <w:r w:rsidR="00423598" w:rsidRPr="00423598">
        <w:rPr>
          <w:lang w:val="en-GB"/>
        </w:rPr>
        <w:t xml:space="preserve"> unilateral</w:t>
      </w:r>
      <w:r w:rsidRPr="00423598">
        <w:rPr>
          <w:lang w:val="en-GB"/>
        </w:rPr>
        <w:t xml:space="preserv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3E3F85" w:rsidRPr="00423598" w:rsidRDefault="003E3F85" w:rsidP="003E3F85">
      <w:pPr>
        <w:rPr>
          <w:lang w:val="en-GB"/>
        </w:rPr>
      </w:pPr>
    </w:p>
    <w:p w:rsidR="003E3F85" w:rsidRPr="00423598" w:rsidRDefault="003E3F85" w:rsidP="003B3907">
      <w:pPr>
        <w:numPr>
          <w:ilvl w:val="0"/>
          <w:numId w:val="2"/>
        </w:numPr>
        <w:tabs>
          <w:tab w:val="clear" w:pos="360"/>
          <w:tab w:val="left" w:pos="709"/>
        </w:tabs>
        <w:suppressAutoHyphens/>
        <w:autoSpaceDE w:val="0"/>
        <w:ind w:left="450" w:hanging="450"/>
        <w:jc w:val="both"/>
        <w:rPr>
          <w:b/>
          <w:bCs/>
          <w:lang w:val="en-GB"/>
        </w:rPr>
      </w:pPr>
      <w:r w:rsidRPr="00423598">
        <w:rPr>
          <w:lang w:val="en-GB"/>
        </w:rPr>
        <w:t xml:space="preserve">The Panel considers that this factual situation does not relieve UNMIK from its obligation to redress as far as possible the effects of the violations for which it is responsible. </w:t>
      </w:r>
    </w:p>
    <w:p w:rsidR="003E3F85" w:rsidRPr="00423598" w:rsidRDefault="003E3F85" w:rsidP="003E3F85">
      <w:pPr>
        <w:rPr>
          <w:b/>
          <w:bCs/>
          <w:lang w:val="en-GB"/>
        </w:rPr>
      </w:pPr>
    </w:p>
    <w:p w:rsidR="003E3F85" w:rsidRPr="00423598" w:rsidRDefault="003E3F85" w:rsidP="003E3F85">
      <w:pPr>
        <w:suppressAutoHyphens/>
        <w:autoSpaceDE w:val="0"/>
        <w:ind w:left="450"/>
        <w:jc w:val="both"/>
        <w:rPr>
          <w:b/>
          <w:bCs/>
          <w:lang w:val="en-GB"/>
        </w:rPr>
      </w:pPr>
      <w:r w:rsidRPr="00423598">
        <w:rPr>
          <w:b/>
          <w:bCs/>
          <w:lang w:val="en-GB"/>
        </w:rPr>
        <w:t>With respect to the complainant and the case the Panel considers appropriate that UNMIK:</w:t>
      </w:r>
    </w:p>
    <w:p w:rsidR="003E3F85" w:rsidRPr="00423598" w:rsidRDefault="003E3F85" w:rsidP="003E3F85">
      <w:pPr>
        <w:pStyle w:val="ListParagraph"/>
        <w:rPr>
          <w:b/>
          <w:bCs/>
          <w:lang w:val="en-GB"/>
        </w:rPr>
      </w:pPr>
    </w:p>
    <w:p w:rsidR="003E3F85" w:rsidRPr="00423598" w:rsidRDefault="003E3F85" w:rsidP="003E3F85">
      <w:pPr>
        <w:numPr>
          <w:ilvl w:val="0"/>
          <w:numId w:val="8"/>
        </w:numPr>
        <w:tabs>
          <w:tab w:val="left" w:pos="900"/>
        </w:tabs>
        <w:suppressAutoHyphens/>
        <w:autoSpaceDE w:val="0"/>
        <w:ind w:left="720" w:firstLine="0"/>
        <w:jc w:val="both"/>
        <w:rPr>
          <w:b/>
          <w:bCs/>
          <w:lang w:val="en-GB"/>
        </w:rPr>
      </w:pPr>
      <w:r w:rsidRPr="00423598">
        <w:rPr>
          <w:lang w:val="en-GB"/>
        </w:rPr>
        <w:t xml:space="preserve">In line with the case law of the European Court of Human Rights on situations of limited State jurisdiction (see ECtHR [GC], </w:t>
      </w:r>
      <w:r w:rsidRPr="00423598">
        <w:rPr>
          <w:i/>
          <w:lang w:val="en-GB"/>
        </w:rPr>
        <w:t>Ilaşcu and Others v. Moldova and Russia</w:t>
      </w:r>
      <w:r w:rsidRPr="00423598">
        <w:rPr>
          <w:lang w:val="en-GB"/>
        </w:rPr>
        <w:t xml:space="preserve">, no. 48787/99, judgment of 8 July 2004, </w:t>
      </w:r>
      <w:r w:rsidRPr="00423598">
        <w:rPr>
          <w:i/>
          <w:lang w:val="en-GB"/>
        </w:rPr>
        <w:t>ECHR</w:t>
      </w:r>
      <w:r w:rsidRPr="00423598">
        <w:rPr>
          <w:lang w:val="en-GB"/>
        </w:rPr>
        <w:t xml:space="preserve">, 2004-VII, § 333; ECtHR, </w:t>
      </w:r>
      <w:r w:rsidRPr="00423598">
        <w:rPr>
          <w:i/>
          <w:lang w:val="en-GB"/>
        </w:rPr>
        <w:t>Al-Saadoon and Mufdhi v. United Kingdom</w:t>
      </w:r>
      <w:r w:rsidRPr="00423598">
        <w:rPr>
          <w:lang w:val="en-GB"/>
        </w:rPr>
        <w:t xml:space="preserve">, no. 61498/08, judgment of 2 March 2010, § 171; ECtHR [GC], </w:t>
      </w:r>
      <w:r w:rsidRPr="00423598">
        <w:rPr>
          <w:i/>
          <w:lang w:val="en-GB"/>
        </w:rPr>
        <w:t>Catan and Others v. Moldova and Russia</w:t>
      </w:r>
      <w:r w:rsidRPr="00423598">
        <w:rPr>
          <w:lang w:val="en-GB"/>
        </w:rPr>
        <w:t xml:space="preserve">, nos. 43370/04, 8252/05 and 18454/06, judgment of 19 October 2012, § 109), must endeavour, with all means available to it </w:t>
      </w:r>
      <w:r w:rsidRPr="00423598">
        <w:rPr>
          <w:i/>
          <w:lang w:val="en-GB"/>
        </w:rPr>
        <w:t>vis-à-vis</w:t>
      </w:r>
      <w:r w:rsidRPr="00423598">
        <w:rPr>
          <w:lang w:val="en-GB"/>
        </w:rPr>
        <w:t xml:space="preserve"> the competent authorities in Kosovo, to obtain assurances that the investigations concerning the case at issue will be continued in compliance with the requirements of an effective investigation as envisaged by Article 2, that the circumstances surrounding the </w:t>
      </w:r>
      <w:r w:rsidR="00954A3E" w:rsidRPr="00423598">
        <w:rPr>
          <w:lang w:val="en-GB"/>
        </w:rPr>
        <w:t>abduction</w:t>
      </w:r>
      <w:r w:rsidR="00423598" w:rsidRPr="00423598">
        <w:rPr>
          <w:lang w:val="en-GB"/>
        </w:rPr>
        <w:t xml:space="preserve"> and killing of</w:t>
      </w:r>
      <w:r w:rsidRPr="00423598">
        <w:rPr>
          <w:lang w:val="en-GB"/>
        </w:rPr>
        <w:t xml:space="preserve"> </w:t>
      </w:r>
      <w:r w:rsidR="004F45E5" w:rsidRPr="00423598">
        <w:rPr>
          <w:lang w:val="en-GB"/>
        </w:rPr>
        <w:t xml:space="preserve">Mr </w:t>
      </w:r>
      <w:r w:rsidR="004F45E5" w:rsidRPr="00423598">
        <w:t>Rade Budimir</w:t>
      </w:r>
      <w:r w:rsidR="004F45E5" w:rsidRPr="00423598">
        <w:rPr>
          <w:lang w:val="en-GB"/>
        </w:rPr>
        <w:t xml:space="preserve"> </w:t>
      </w:r>
      <w:r w:rsidRPr="00423598">
        <w:rPr>
          <w:lang w:val="en-GB"/>
        </w:rPr>
        <w:t>will be established and that perpetrators will be brou</w:t>
      </w:r>
      <w:r w:rsidR="002948A6" w:rsidRPr="00423598">
        <w:rPr>
          <w:lang w:val="en-GB"/>
        </w:rPr>
        <w:t xml:space="preserve">ght to justice. The complainant </w:t>
      </w:r>
      <w:r w:rsidRPr="00423598">
        <w:rPr>
          <w:lang w:val="en-GB"/>
        </w:rPr>
        <w:t>and/or other next-of-kin shall be informed of such proceedings and relevant documents shall be disclosed to them, as necessary;</w:t>
      </w:r>
    </w:p>
    <w:p w:rsidR="003E3F85" w:rsidRPr="00423598" w:rsidRDefault="003E3F85" w:rsidP="003E3F85">
      <w:pPr>
        <w:suppressAutoHyphens/>
        <w:autoSpaceDE w:val="0"/>
        <w:ind w:left="709" w:hanging="270"/>
        <w:jc w:val="both"/>
        <w:rPr>
          <w:b/>
          <w:bCs/>
          <w:lang w:val="en-GB"/>
        </w:rPr>
      </w:pPr>
    </w:p>
    <w:p w:rsidR="003E3F85" w:rsidRPr="00423598" w:rsidRDefault="003E3F85" w:rsidP="003E3F85">
      <w:pPr>
        <w:numPr>
          <w:ilvl w:val="0"/>
          <w:numId w:val="8"/>
        </w:numPr>
        <w:tabs>
          <w:tab w:val="left" w:pos="900"/>
        </w:tabs>
        <w:suppressAutoHyphens/>
        <w:autoSpaceDE w:val="0"/>
        <w:ind w:left="720" w:firstLine="0"/>
        <w:jc w:val="both"/>
        <w:rPr>
          <w:lang w:val="en-GB"/>
        </w:rPr>
      </w:pPr>
      <w:r w:rsidRPr="00423598">
        <w:rPr>
          <w:lang w:val="en-GB"/>
        </w:rPr>
        <w:t xml:space="preserve">Publicly acknowledges, within a reasonable time, responsibility with respect to UNMIK’s failure to adequately investigate the </w:t>
      </w:r>
      <w:r w:rsidR="00954A3E" w:rsidRPr="00423598">
        <w:rPr>
          <w:lang w:val="en-GB"/>
        </w:rPr>
        <w:t>abduction</w:t>
      </w:r>
      <w:r w:rsidR="00423598" w:rsidRPr="00423598">
        <w:rPr>
          <w:lang w:val="en-GB"/>
        </w:rPr>
        <w:t xml:space="preserve"> and killing</w:t>
      </w:r>
      <w:r w:rsidR="00622236" w:rsidRPr="00423598">
        <w:rPr>
          <w:lang w:val="en-GB"/>
        </w:rPr>
        <w:t xml:space="preserve"> of</w:t>
      </w:r>
      <w:r w:rsidR="00622236" w:rsidRPr="00423598">
        <w:rPr>
          <w:bCs/>
          <w:lang w:val="en-GB"/>
        </w:rPr>
        <w:t xml:space="preserve"> </w:t>
      </w:r>
      <w:r w:rsidR="004F45E5" w:rsidRPr="00423598">
        <w:rPr>
          <w:lang w:val="en-GB"/>
        </w:rPr>
        <w:t xml:space="preserve">Mr </w:t>
      </w:r>
      <w:r w:rsidR="004F45E5" w:rsidRPr="00423598">
        <w:t>Rade Budimir</w:t>
      </w:r>
      <w:r w:rsidR="004F45E5" w:rsidRPr="00423598">
        <w:rPr>
          <w:lang w:val="en-GB"/>
        </w:rPr>
        <w:t xml:space="preserve"> </w:t>
      </w:r>
      <w:r w:rsidRPr="00423598">
        <w:rPr>
          <w:lang w:val="en-GB"/>
        </w:rPr>
        <w:t xml:space="preserve">and make a public apology to the complainant and </w:t>
      </w:r>
      <w:r w:rsidR="006B7095" w:rsidRPr="00423598">
        <w:rPr>
          <w:lang w:val="en-GB"/>
        </w:rPr>
        <w:t>her</w:t>
      </w:r>
      <w:r w:rsidRPr="00423598">
        <w:rPr>
          <w:lang w:val="en-GB"/>
        </w:rPr>
        <w:t xml:space="preserve"> family in this regard; </w:t>
      </w:r>
    </w:p>
    <w:p w:rsidR="003E3F85" w:rsidRPr="00423598" w:rsidRDefault="003E3F85" w:rsidP="003E3F85">
      <w:pPr>
        <w:suppressAutoHyphens/>
        <w:autoSpaceDE w:val="0"/>
        <w:ind w:left="709" w:hanging="270"/>
        <w:jc w:val="both"/>
        <w:rPr>
          <w:lang w:val="en-GB"/>
        </w:rPr>
      </w:pPr>
    </w:p>
    <w:p w:rsidR="003E3F85" w:rsidRPr="00423598" w:rsidRDefault="003E3F85" w:rsidP="003E3F85">
      <w:pPr>
        <w:numPr>
          <w:ilvl w:val="0"/>
          <w:numId w:val="8"/>
        </w:numPr>
        <w:tabs>
          <w:tab w:val="left" w:pos="900"/>
        </w:tabs>
        <w:suppressAutoHyphens/>
        <w:autoSpaceDE w:val="0"/>
        <w:ind w:left="720" w:firstLine="0"/>
        <w:jc w:val="both"/>
        <w:rPr>
          <w:lang w:val="en-GB"/>
        </w:rPr>
      </w:pPr>
      <w:r w:rsidRPr="00423598">
        <w:rPr>
          <w:lang w:val="en-GB"/>
        </w:rPr>
        <w:t>Takes appropriate steps towards payment of adequate compensation to the complainant for the moral damage suffered due to UNMIK’s failure to conduct an effective investigation.</w:t>
      </w:r>
    </w:p>
    <w:p w:rsidR="003E3F85" w:rsidRPr="00423598" w:rsidRDefault="003E3F85" w:rsidP="003E3F85">
      <w:pPr>
        <w:suppressAutoHyphens/>
        <w:autoSpaceDE w:val="0"/>
        <w:ind w:left="360"/>
        <w:jc w:val="both"/>
        <w:rPr>
          <w:b/>
          <w:bCs/>
          <w:lang w:val="en-GB"/>
        </w:rPr>
      </w:pPr>
    </w:p>
    <w:p w:rsidR="003E3F85" w:rsidRPr="00423598" w:rsidRDefault="003E3F85" w:rsidP="003E3F85">
      <w:pPr>
        <w:suppressAutoHyphens/>
        <w:autoSpaceDE w:val="0"/>
        <w:ind w:left="450"/>
        <w:jc w:val="both"/>
        <w:rPr>
          <w:b/>
          <w:bCs/>
          <w:lang w:val="en-GB"/>
        </w:rPr>
      </w:pPr>
      <w:r w:rsidRPr="00423598">
        <w:rPr>
          <w:b/>
          <w:bCs/>
          <w:lang w:val="en-GB"/>
        </w:rPr>
        <w:t>The Panel also considers appropriate that UNMIK:</w:t>
      </w:r>
    </w:p>
    <w:p w:rsidR="003E3F85" w:rsidRPr="00423598" w:rsidRDefault="003E3F85" w:rsidP="003E3F85">
      <w:pPr>
        <w:tabs>
          <w:tab w:val="left" w:pos="900"/>
        </w:tabs>
        <w:suppressAutoHyphens/>
        <w:autoSpaceDE w:val="0"/>
        <w:ind w:left="720"/>
        <w:jc w:val="both"/>
        <w:rPr>
          <w:lang w:val="en-GB"/>
        </w:rPr>
      </w:pPr>
    </w:p>
    <w:p w:rsidR="003E3F85" w:rsidRPr="00423598" w:rsidRDefault="003E3F85" w:rsidP="003E3F85">
      <w:pPr>
        <w:numPr>
          <w:ilvl w:val="0"/>
          <w:numId w:val="8"/>
        </w:numPr>
        <w:tabs>
          <w:tab w:val="left" w:pos="900"/>
        </w:tabs>
        <w:suppressAutoHyphens/>
        <w:autoSpaceDE w:val="0"/>
        <w:ind w:left="720" w:firstLine="0"/>
        <w:jc w:val="both"/>
        <w:rPr>
          <w:lang w:val="en-GB"/>
        </w:rPr>
      </w:pPr>
      <w:r w:rsidRPr="00423598">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3E3F85" w:rsidRPr="00423598" w:rsidRDefault="003E3F85" w:rsidP="003E3F85">
      <w:pPr>
        <w:tabs>
          <w:tab w:val="left" w:pos="900"/>
        </w:tabs>
        <w:suppressAutoHyphens/>
        <w:autoSpaceDE w:val="0"/>
        <w:ind w:left="720"/>
        <w:jc w:val="both"/>
        <w:rPr>
          <w:lang w:val="en-GB"/>
        </w:rPr>
      </w:pPr>
    </w:p>
    <w:p w:rsidR="003E3F85" w:rsidRPr="00423598" w:rsidRDefault="003E3F85" w:rsidP="003E3F85">
      <w:pPr>
        <w:numPr>
          <w:ilvl w:val="0"/>
          <w:numId w:val="8"/>
        </w:numPr>
        <w:tabs>
          <w:tab w:val="left" w:pos="900"/>
        </w:tabs>
        <w:suppressAutoHyphens/>
        <w:autoSpaceDE w:val="0"/>
        <w:ind w:left="720" w:firstLine="0"/>
        <w:jc w:val="both"/>
        <w:rPr>
          <w:lang w:val="en-GB"/>
        </w:rPr>
      </w:pPr>
      <w:r w:rsidRPr="00423598">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C91261" w:rsidRPr="00423598" w:rsidRDefault="00C91261" w:rsidP="00C91261">
      <w:pPr>
        <w:pStyle w:val="ListParagraph"/>
        <w:rPr>
          <w:lang w:val="en-GB"/>
        </w:rPr>
      </w:pPr>
    </w:p>
    <w:p w:rsidR="003E3F85" w:rsidRPr="00423598" w:rsidRDefault="003E3F85" w:rsidP="003E3F85">
      <w:pPr>
        <w:pStyle w:val="Normal1"/>
        <w:spacing w:before="0" w:beforeAutospacing="0" w:after="0" w:afterAutospacing="0"/>
        <w:jc w:val="both"/>
        <w:rPr>
          <w:b/>
          <w:lang w:val="en-GB"/>
        </w:rPr>
      </w:pPr>
      <w:r w:rsidRPr="00423598">
        <w:rPr>
          <w:b/>
          <w:lang w:val="en-GB"/>
        </w:rPr>
        <w:t>FOR THESE REASONS,</w:t>
      </w:r>
    </w:p>
    <w:p w:rsidR="003E3F85" w:rsidRPr="00423598" w:rsidRDefault="003E3F85" w:rsidP="003E3F85">
      <w:pPr>
        <w:pStyle w:val="Normal1"/>
        <w:spacing w:before="0" w:beforeAutospacing="0" w:after="0" w:afterAutospacing="0"/>
        <w:jc w:val="both"/>
        <w:rPr>
          <w:b/>
          <w:lang w:val="en-GB"/>
        </w:rPr>
      </w:pPr>
    </w:p>
    <w:p w:rsidR="003E3F85" w:rsidRPr="00423598" w:rsidRDefault="003E3F85" w:rsidP="003E3F85">
      <w:pPr>
        <w:pStyle w:val="Normal1"/>
        <w:spacing w:before="0" w:beforeAutospacing="0" w:after="0" w:afterAutospacing="0"/>
        <w:jc w:val="both"/>
        <w:rPr>
          <w:b/>
          <w:lang w:val="en-GB"/>
        </w:rPr>
      </w:pPr>
    </w:p>
    <w:p w:rsidR="003E3F85" w:rsidRPr="00423598" w:rsidRDefault="003E3F85" w:rsidP="003E3F85">
      <w:pPr>
        <w:autoSpaceDE w:val="0"/>
        <w:autoSpaceDN w:val="0"/>
        <w:adjustRightInd w:val="0"/>
        <w:jc w:val="both"/>
        <w:rPr>
          <w:lang w:val="en-GB"/>
        </w:rPr>
      </w:pPr>
      <w:r w:rsidRPr="00423598">
        <w:rPr>
          <w:lang w:val="en-GB"/>
        </w:rPr>
        <w:t>The Panel, unanimously,</w:t>
      </w:r>
    </w:p>
    <w:p w:rsidR="003E3F85" w:rsidRPr="00423598" w:rsidRDefault="003E3F85" w:rsidP="003E3F85">
      <w:pPr>
        <w:autoSpaceDE w:val="0"/>
        <w:autoSpaceDN w:val="0"/>
        <w:adjustRightInd w:val="0"/>
        <w:jc w:val="both"/>
        <w:rPr>
          <w:lang w:val="en-GB"/>
        </w:rPr>
      </w:pPr>
      <w:r w:rsidRPr="00423598">
        <w:rPr>
          <w:lang w:val="en-GB"/>
        </w:rPr>
        <w:t xml:space="preserve"> </w:t>
      </w:r>
    </w:p>
    <w:p w:rsidR="003E3F85" w:rsidRPr="00423598" w:rsidRDefault="003E3F85" w:rsidP="003E3F85">
      <w:pPr>
        <w:autoSpaceDE w:val="0"/>
        <w:autoSpaceDN w:val="0"/>
        <w:adjustRightInd w:val="0"/>
        <w:jc w:val="both"/>
        <w:rPr>
          <w:lang w:val="en-GB"/>
        </w:rPr>
      </w:pPr>
    </w:p>
    <w:p w:rsidR="003E3F85" w:rsidRPr="00423598" w:rsidRDefault="003E3F85" w:rsidP="003E3F85">
      <w:pPr>
        <w:pStyle w:val="JuList"/>
        <w:numPr>
          <w:ilvl w:val="0"/>
          <w:numId w:val="5"/>
        </w:numPr>
        <w:tabs>
          <w:tab w:val="clear" w:pos="567"/>
          <w:tab w:val="num" w:pos="-142"/>
        </w:tabs>
        <w:ind w:left="284" w:hanging="284"/>
        <w:rPr>
          <w:b/>
        </w:rPr>
      </w:pPr>
      <w:r w:rsidRPr="00423598">
        <w:rPr>
          <w:b/>
        </w:rPr>
        <w:t>FINDS THAT THERE HAS BEEN A VIOLATION OF THE PROCEDURAL OBLIGATION UNDER ARTICLE 2 OF THE EUROPEAN CONVENTION ON HUMAN RIGHTS;</w:t>
      </w:r>
    </w:p>
    <w:p w:rsidR="003E3F85" w:rsidRPr="00423598" w:rsidRDefault="003E3F85" w:rsidP="003E3F85">
      <w:pPr>
        <w:pStyle w:val="JuList"/>
        <w:tabs>
          <w:tab w:val="num" w:pos="360"/>
        </w:tabs>
        <w:ind w:left="360" w:hanging="360"/>
        <w:rPr>
          <w:b/>
        </w:rPr>
      </w:pPr>
    </w:p>
    <w:p w:rsidR="003E3F85" w:rsidRPr="00423598" w:rsidRDefault="003E3F85" w:rsidP="003E3F85">
      <w:pPr>
        <w:pStyle w:val="JuList"/>
        <w:numPr>
          <w:ilvl w:val="0"/>
          <w:numId w:val="5"/>
        </w:numPr>
        <w:tabs>
          <w:tab w:val="clear" w:pos="567"/>
          <w:tab w:val="num" w:pos="-142"/>
        </w:tabs>
        <w:ind w:left="284" w:hanging="284"/>
        <w:rPr>
          <w:b/>
        </w:rPr>
      </w:pPr>
      <w:r w:rsidRPr="00423598">
        <w:rPr>
          <w:b/>
        </w:rPr>
        <w:t>RECOMMENDS</w:t>
      </w:r>
      <w:r w:rsidRPr="00423598">
        <w:rPr>
          <w:b/>
          <w:bCs/>
          <w:lang w:eastAsia="en-US"/>
        </w:rPr>
        <w:t xml:space="preserve"> THAT UNMIK:</w:t>
      </w:r>
    </w:p>
    <w:p w:rsidR="003E3F85" w:rsidRPr="00423598" w:rsidRDefault="003E3F85" w:rsidP="003E3F85">
      <w:pPr>
        <w:pStyle w:val="JuList"/>
        <w:tabs>
          <w:tab w:val="num" w:pos="540"/>
        </w:tabs>
        <w:ind w:left="270" w:firstLine="0"/>
        <w:rPr>
          <w:b/>
          <w:bCs/>
          <w:lang w:eastAsia="en-US"/>
        </w:rPr>
      </w:pPr>
    </w:p>
    <w:p w:rsidR="003E3F85" w:rsidRPr="00423598" w:rsidRDefault="003E3F85" w:rsidP="003B3907">
      <w:pPr>
        <w:pStyle w:val="JuList"/>
        <w:numPr>
          <w:ilvl w:val="0"/>
          <w:numId w:val="6"/>
        </w:numPr>
        <w:tabs>
          <w:tab w:val="num" w:pos="720"/>
        </w:tabs>
        <w:ind w:left="720"/>
        <w:rPr>
          <w:b/>
          <w:bCs/>
          <w:lang w:eastAsia="en-US"/>
        </w:rPr>
      </w:pPr>
      <w:r w:rsidRPr="00423598">
        <w:rPr>
          <w:b/>
          <w:bCs/>
          <w:lang w:eastAsia="en-US"/>
        </w:rPr>
        <w:t xml:space="preserve">URGES THE COMPETENT AUTHORITIES IN KOSOVO TO TAKE ALL POSSIBLE STEPS IN ORDER TO ENSURE THAT THE CRIMINAL INVESTIGATION INTO THE </w:t>
      </w:r>
      <w:r w:rsidR="00954A3E" w:rsidRPr="00423598">
        <w:rPr>
          <w:b/>
          <w:bCs/>
          <w:lang w:eastAsia="en-US"/>
        </w:rPr>
        <w:t>ABDUCTION</w:t>
      </w:r>
      <w:r w:rsidR="004F45E5" w:rsidRPr="00423598">
        <w:rPr>
          <w:b/>
          <w:bCs/>
          <w:lang w:eastAsia="en-US"/>
        </w:rPr>
        <w:t xml:space="preserve"> AND </w:t>
      </w:r>
      <w:r w:rsidR="00423598" w:rsidRPr="00423598">
        <w:rPr>
          <w:b/>
          <w:bCs/>
          <w:lang w:eastAsia="en-US"/>
        </w:rPr>
        <w:t>KILLING</w:t>
      </w:r>
      <w:r w:rsidR="004F45E5" w:rsidRPr="00423598">
        <w:rPr>
          <w:b/>
          <w:bCs/>
          <w:lang w:eastAsia="en-US"/>
        </w:rPr>
        <w:t xml:space="preserve"> OF MR RADE</w:t>
      </w:r>
      <w:r w:rsidR="00622236" w:rsidRPr="00423598">
        <w:rPr>
          <w:b/>
          <w:bCs/>
          <w:lang w:eastAsia="en-US"/>
        </w:rPr>
        <w:t xml:space="preserve"> </w:t>
      </w:r>
      <w:r w:rsidR="004F45E5" w:rsidRPr="00423598">
        <w:rPr>
          <w:b/>
          <w:bCs/>
          <w:lang w:eastAsia="en-US"/>
        </w:rPr>
        <w:t>BUDIMIR</w:t>
      </w:r>
      <w:r w:rsidR="00622236" w:rsidRPr="00423598">
        <w:rPr>
          <w:b/>
          <w:bCs/>
          <w:lang w:eastAsia="en-US"/>
        </w:rPr>
        <w:t xml:space="preserve"> </w:t>
      </w:r>
      <w:r w:rsidRPr="00423598">
        <w:rPr>
          <w:b/>
          <w:bCs/>
          <w:lang w:eastAsia="en-US"/>
        </w:rPr>
        <w:t>IS CONTINUED IN COMPLIANCE WITH ARTICLE 2 OF THE ECHR AND THAT THE PERPETRATORS ARE BROUGHT TO JUSTICE;</w:t>
      </w:r>
    </w:p>
    <w:p w:rsidR="003E3F85" w:rsidRPr="00423598" w:rsidRDefault="003E3F85" w:rsidP="003E3F85">
      <w:pPr>
        <w:pStyle w:val="JuList"/>
        <w:ind w:left="720" w:firstLine="0"/>
        <w:rPr>
          <w:b/>
          <w:bCs/>
          <w:lang w:eastAsia="en-US"/>
        </w:rPr>
      </w:pPr>
    </w:p>
    <w:p w:rsidR="003E3F85" w:rsidRPr="00423598" w:rsidRDefault="003E3F85" w:rsidP="003E3F85">
      <w:pPr>
        <w:pStyle w:val="JuList"/>
        <w:numPr>
          <w:ilvl w:val="0"/>
          <w:numId w:val="6"/>
        </w:numPr>
        <w:tabs>
          <w:tab w:val="num" w:pos="720"/>
        </w:tabs>
        <w:ind w:left="720"/>
        <w:rPr>
          <w:b/>
          <w:bCs/>
          <w:lang w:eastAsia="en-US"/>
        </w:rPr>
      </w:pPr>
      <w:r w:rsidRPr="00423598">
        <w:rPr>
          <w:b/>
          <w:bCs/>
          <w:lang w:eastAsia="en-US"/>
        </w:rPr>
        <w:lastRenderedPageBreak/>
        <w:t xml:space="preserve">PUBLICLY ACKNOWLEDGES RESPONSIBILITY FOR ITS FAILURE TO CONDUCT AN EFFECTIVE INVESTIGATION INTO </w:t>
      </w:r>
      <w:r w:rsidR="00622236" w:rsidRPr="00423598">
        <w:rPr>
          <w:b/>
          <w:bCs/>
          <w:lang w:eastAsia="en-US"/>
        </w:rPr>
        <w:t xml:space="preserve">THE </w:t>
      </w:r>
      <w:r w:rsidR="00954A3E" w:rsidRPr="00423598">
        <w:rPr>
          <w:b/>
          <w:bCs/>
          <w:lang w:eastAsia="en-US"/>
        </w:rPr>
        <w:t>ABDUCTION</w:t>
      </w:r>
      <w:r w:rsidR="00622236" w:rsidRPr="00423598">
        <w:rPr>
          <w:b/>
          <w:bCs/>
          <w:lang w:eastAsia="en-US"/>
        </w:rPr>
        <w:t xml:space="preserve"> AND </w:t>
      </w:r>
      <w:r w:rsidR="00423598" w:rsidRPr="00423598">
        <w:rPr>
          <w:b/>
          <w:bCs/>
          <w:lang w:eastAsia="en-US"/>
        </w:rPr>
        <w:t>KILLING</w:t>
      </w:r>
      <w:r w:rsidR="00622236" w:rsidRPr="00423598">
        <w:rPr>
          <w:b/>
          <w:bCs/>
          <w:lang w:eastAsia="en-US"/>
        </w:rPr>
        <w:t xml:space="preserve"> OF </w:t>
      </w:r>
      <w:r w:rsidR="004F45E5" w:rsidRPr="00423598">
        <w:rPr>
          <w:b/>
          <w:bCs/>
          <w:lang w:eastAsia="en-US"/>
        </w:rPr>
        <w:t xml:space="preserve">MR RADE BUDIMIR </w:t>
      </w:r>
      <w:r w:rsidRPr="00423598">
        <w:rPr>
          <w:b/>
          <w:bCs/>
          <w:lang w:eastAsia="en-US"/>
        </w:rPr>
        <w:t xml:space="preserve">AND MAKES A PUBLIC APOLOGY TO THE COMPLAINANT; </w:t>
      </w:r>
    </w:p>
    <w:p w:rsidR="003E3F85" w:rsidRPr="00423598" w:rsidRDefault="003E3F85" w:rsidP="003E3F85">
      <w:pPr>
        <w:pStyle w:val="JuList"/>
        <w:tabs>
          <w:tab w:val="num" w:pos="900"/>
        </w:tabs>
        <w:ind w:left="900" w:firstLine="0"/>
        <w:rPr>
          <w:b/>
          <w:bCs/>
          <w:lang w:eastAsia="en-US"/>
        </w:rPr>
      </w:pPr>
    </w:p>
    <w:p w:rsidR="003E3F85" w:rsidRPr="00423598" w:rsidRDefault="003E3F85" w:rsidP="003E3F85">
      <w:pPr>
        <w:pStyle w:val="JuList"/>
        <w:numPr>
          <w:ilvl w:val="0"/>
          <w:numId w:val="6"/>
        </w:numPr>
        <w:tabs>
          <w:tab w:val="num" w:pos="720"/>
        </w:tabs>
        <w:ind w:left="720"/>
        <w:rPr>
          <w:b/>
        </w:rPr>
      </w:pPr>
      <w:r w:rsidRPr="00423598">
        <w:rPr>
          <w:b/>
          <w:bCs/>
          <w:caps/>
          <w:lang w:eastAsia="en-US"/>
        </w:rPr>
        <w:t xml:space="preserve">TAKES APPROPRIATE STEPS TOWARDS PAYMENT OF ADEQUATE </w:t>
      </w:r>
      <w:r w:rsidRPr="00423598">
        <w:rPr>
          <w:b/>
          <w:bCs/>
          <w:lang w:eastAsia="en-US"/>
        </w:rPr>
        <w:t>COMPENSATION</w:t>
      </w:r>
      <w:r w:rsidRPr="00423598">
        <w:rPr>
          <w:b/>
          <w:bCs/>
          <w:caps/>
          <w:lang w:eastAsia="en-US"/>
        </w:rPr>
        <w:t xml:space="preserve"> FOR MORAL DAMAGE IN RELATION TO THE FINDING OF VIOLATIONS OF ARTICLE 2 OF THE ECHR TO THE COMPLAINANT</w:t>
      </w:r>
      <w:r w:rsidRPr="00423598">
        <w:rPr>
          <w:b/>
        </w:rPr>
        <w:t>;</w:t>
      </w:r>
    </w:p>
    <w:p w:rsidR="003E3F85" w:rsidRPr="00423598" w:rsidRDefault="003E3F85" w:rsidP="003E3F85">
      <w:pPr>
        <w:pStyle w:val="JuList"/>
        <w:tabs>
          <w:tab w:val="num" w:pos="900"/>
        </w:tabs>
        <w:ind w:left="900" w:firstLine="0"/>
        <w:rPr>
          <w:b/>
          <w:bCs/>
          <w:lang w:eastAsia="en-US"/>
        </w:rPr>
      </w:pPr>
    </w:p>
    <w:p w:rsidR="003E3F85" w:rsidRPr="00423598" w:rsidRDefault="003E3F85" w:rsidP="003E3F85">
      <w:pPr>
        <w:pStyle w:val="JuList"/>
        <w:numPr>
          <w:ilvl w:val="0"/>
          <w:numId w:val="6"/>
        </w:numPr>
        <w:tabs>
          <w:tab w:val="num" w:pos="720"/>
        </w:tabs>
        <w:ind w:left="720"/>
        <w:rPr>
          <w:b/>
          <w:bCs/>
          <w:lang w:eastAsia="en-US"/>
        </w:rPr>
      </w:pPr>
      <w:r w:rsidRPr="00423598">
        <w:rPr>
          <w:b/>
          <w:bCs/>
          <w:lang w:eastAsia="en-US"/>
        </w:rPr>
        <w:t>TAKES APPROPRIATE STEPS TOWARDS THE REALISATION OF A FULL AND COMPREHENSIVE REPARATION PROGRAMME;</w:t>
      </w:r>
    </w:p>
    <w:p w:rsidR="003E3F85" w:rsidRPr="00423598" w:rsidRDefault="003E3F85" w:rsidP="003E3F85">
      <w:pPr>
        <w:pStyle w:val="ListParagraph"/>
        <w:tabs>
          <w:tab w:val="num" w:pos="900"/>
        </w:tabs>
        <w:ind w:left="900"/>
        <w:rPr>
          <w:b/>
          <w:bCs/>
          <w:lang w:val="en-GB" w:eastAsia="en-US"/>
        </w:rPr>
      </w:pPr>
    </w:p>
    <w:p w:rsidR="003E3F85" w:rsidRPr="00423598" w:rsidRDefault="003E3F85" w:rsidP="003E3F85">
      <w:pPr>
        <w:pStyle w:val="JuList"/>
        <w:numPr>
          <w:ilvl w:val="0"/>
          <w:numId w:val="6"/>
        </w:numPr>
        <w:tabs>
          <w:tab w:val="num" w:pos="720"/>
        </w:tabs>
        <w:ind w:left="720"/>
        <w:rPr>
          <w:b/>
          <w:bCs/>
          <w:lang w:eastAsia="en-US"/>
        </w:rPr>
      </w:pPr>
      <w:r w:rsidRPr="00423598">
        <w:rPr>
          <w:b/>
          <w:bCs/>
          <w:lang w:eastAsia="en-US"/>
        </w:rPr>
        <w:t>TAKES APPROPRIATE STEPS AT THE UNITED NATIONS AS A GUARANTEE OF NON REPETITION;</w:t>
      </w:r>
    </w:p>
    <w:p w:rsidR="003E3F85" w:rsidRPr="00423598" w:rsidRDefault="003E3F85" w:rsidP="003E3F85">
      <w:pPr>
        <w:pStyle w:val="JuList"/>
        <w:tabs>
          <w:tab w:val="num" w:pos="900"/>
        </w:tabs>
        <w:ind w:left="900" w:firstLine="0"/>
        <w:rPr>
          <w:b/>
          <w:bCs/>
          <w:lang w:eastAsia="en-US"/>
        </w:rPr>
      </w:pPr>
    </w:p>
    <w:p w:rsidR="003E3F85" w:rsidRPr="00423598" w:rsidRDefault="003E3F85" w:rsidP="003E3F85">
      <w:pPr>
        <w:pStyle w:val="JuList"/>
        <w:numPr>
          <w:ilvl w:val="0"/>
          <w:numId w:val="6"/>
        </w:numPr>
        <w:tabs>
          <w:tab w:val="num" w:pos="720"/>
        </w:tabs>
        <w:ind w:left="720"/>
        <w:rPr>
          <w:b/>
          <w:bCs/>
          <w:lang w:eastAsia="en-US"/>
        </w:rPr>
      </w:pPr>
      <w:r w:rsidRPr="00423598">
        <w:rPr>
          <w:b/>
          <w:bCs/>
          <w:lang w:eastAsia="en-US"/>
        </w:rPr>
        <w:t>TAKES IMMEDIATE AND EFFECTIVE MEASURES TO IMPLEMENT THE RECOMMENDATIONS OF THE PANEL AND TO INFORM THE COMPLAINANT AND THE PANEL ABOUT FURTHER DEVELOPMENTS IN THIS CASE.</w:t>
      </w:r>
    </w:p>
    <w:p w:rsidR="003E3F85" w:rsidRPr="00423598" w:rsidRDefault="003E3F85" w:rsidP="003E3F85">
      <w:pPr>
        <w:autoSpaceDE w:val="0"/>
        <w:autoSpaceDN w:val="0"/>
        <w:adjustRightInd w:val="0"/>
        <w:jc w:val="both"/>
        <w:rPr>
          <w:b/>
          <w:bCs/>
          <w:lang w:val="en-GB"/>
        </w:rPr>
      </w:pPr>
    </w:p>
    <w:p w:rsidR="003E3F85" w:rsidRPr="00423598" w:rsidRDefault="003E3F85" w:rsidP="003E3F85">
      <w:pPr>
        <w:autoSpaceDE w:val="0"/>
        <w:autoSpaceDN w:val="0"/>
        <w:adjustRightInd w:val="0"/>
        <w:jc w:val="both"/>
        <w:rPr>
          <w:b/>
          <w:bCs/>
          <w:lang w:val="en-GB"/>
        </w:rPr>
      </w:pPr>
    </w:p>
    <w:p w:rsidR="003E3F85" w:rsidRPr="00423598" w:rsidRDefault="003E3F85" w:rsidP="003E3F85">
      <w:pPr>
        <w:autoSpaceDE w:val="0"/>
        <w:autoSpaceDN w:val="0"/>
        <w:adjustRightInd w:val="0"/>
        <w:jc w:val="both"/>
        <w:rPr>
          <w:b/>
          <w:bCs/>
          <w:lang w:val="en-GB"/>
        </w:rPr>
      </w:pPr>
    </w:p>
    <w:p w:rsidR="003E3F85" w:rsidRPr="00423598" w:rsidRDefault="003E3F85" w:rsidP="003E3F85">
      <w:pPr>
        <w:autoSpaceDE w:val="0"/>
        <w:autoSpaceDN w:val="0"/>
        <w:adjustRightInd w:val="0"/>
        <w:jc w:val="both"/>
        <w:rPr>
          <w:lang w:val="en-GB"/>
        </w:rPr>
      </w:pPr>
    </w:p>
    <w:p w:rsidR="003B3907" w:rsidRPr="00423598" w:rsidRDefault="003B3907" w:rsidP="003E3F85">
      <w:pPr>
        <w:autoSpaceDE w:val="0"/>
        <w:autoSpaceDN w:val="0"/>
        <w:adjustRightInd w:val="0"/>
        <w:jc w:val="both"/>
        <w:rPr>
          <w:lang w:val="en-GB"/>
        </w:rPr>
      </w:pPr>
    </w:p>
    <w:p w:rsidR="003B3907" w:rsidRPr="00423598" w:rsidRDefault="003B3907" w:rsidP="003E3F85">
      <w:pPr>
        <w:autoSpaceDE w:val="0"/>
        <w:autoSpaceDN w:val="0"/>
        <w:adjustRightInd w:val="0"/>
        <w:jc w:val="both"/>
        <w:rPr>
          <w:lang w:val="en-GB"/>
        </w:rPr>
      </w:pPr>
    </w:p>
    <w:p w:rsidR="003B3907" w:rsidRPr="00423598" w:rsidRDefault="003B3907" w:rsidP="003E3F85">
      <w:pPr>
        <w:autoSpaceDE w:val="0"/>
        <w:autoSpaceDN w:val="0"/>
        <w:adjustRightInd w:val="0"/>
        <w:jc w:val="both"/>
        <w:rPr>
          <w:lang w:val="en-GB"/>
        </w:rPr>
      </w:pPr>
    </w:p>
    <w:p w:rsidR="003E3F85" w:rsidRPr="00423598" w:rsidRDefault="002948A6" w:rsidP="003E3F85">
      <w:pPr>
        <w:autoSpaceDE w:val="0"/>
        <w:autoSpaceDN w:val="0"/>
        <w:adjustRightInd w:val="0"/>
        <w:jc w:val="both"/>
        <w:rPr>
          <w:lang w:val="en-GB"/>
        </w:rPr>
      </w:pPr>
      <w:r w:rsidRPr="00423598">
        <w:rPr>
          <w:lang w:val="en-GB"/>
        </w:rPr>
        <w:t>Andrey Antonov</w:t>
      </w:r>
      <w:r w:rsidR="003E3F85" w:rsidRPr="00423598">
        <w:rPr>
          <w:lang w:val="en-GB"/>
        </w:rPr>
        <w:tab/>
      </w:r>
      <w:r w:rsidR="003E3F85" w:rsidRPr="00423598">
        <w:rPr>
          <w:lang w:val="en-GB"/>
        </w:rPr>
        <w:tab/>
      </w:r>
      <w:r w:rsidR="003E3F85" w:rsidRPr="00423598">
        <w:rPr>
          <w:lang w:val="en-GB"/>
        </w:rPr>
        <w:tab/>
      </w:r>
      <w:r w:rsidR="003E3F85" w:rsidRPr="00423598">
        <w:rPr>
          <w:lang w:val="en-GB"/>
        </w:rPr>
        <w:tab/>
      </w:r>
      <w:r w:rsidR="003E3F85" w:rsidRPr="00423598">
        <w:rPr>
          <w:lang w:val="en-GB"/>
        </w:rPr>
        <w:tab/>
      </w:r>
      <w:r w:rsidR="003E3F85" w:rsidRPr="00423598">
        <w:rPr>
          <w:lang w:val="en-GB"/>
        </w:rPr>
        <w:tab/>
      </w:r>
      <w:r w:rsidRPr="00423598">
        <w:rPr>
          <w:lang w:val="en-GB"/>
        </w:rPr>
        <w:tab/>
      </w:r>
      <w:r w:rsidR="003E3F85" w:rsidRPr="00423598">
        <w:rPr>
          <w:lang w:val="en-GB"/>
        </w:rPr>
        <w:t>Marek Nowicki</w:t>
      </w:r>
    </w:p>
    <w:p w:rsidR="002948A6" w:rsidRPr="00423598" w:rsidRDefault="003E3F85" w:rsidP="001B768F">
      <w:pPr>
        <w:autoSpaceDE w:val="0"/>
        <w:autoSpaceDN w:val="0"/>
        <w:adjustRightInd w:val="0"/>
        <w:jc w:val="both"/>
        <w:rPr>
          <w:lang w:val="en-GB"/>
        </w:rPr>
      </w:pPr>
      <w:r w:rsidRPr="00423598">
        <w:rPr>
          <w:lang w:val="en-GB"/>
        </w:rPr>
        <w:t xml:space="preserve">Executive Officer </w:t>
      </w:r>
      <w:r w:rsidRPr="00423598">
        <w:rPr>
          <w:lang w:val="en-GB"/>
        </w:rPr>
        <w:tab/>
      </w:r>
      <w:r w:rsidRPr="00423598">
        <w:rPr>
          <w:lang w:val="en-GB"/>
        </w:rPr>
        <w:tab/>
      </w:r>
      <w:r w:rsidRPr="00423598">
        <w:rPr>
          <w:lang w:val="en-GB"/>
        </w:rPr>
        <w:tab/>
      </w:r>
      <w:r w:rsidRPr="00423598">
        <w:rPr>
          <w:lang w:val="en-GB"/>
        </w:rPr>
        <w:tab/>
      </w:r>
      <w:r w:rsidRPr="00423598">
        <w:rPr>
          <w:lang w:val="en-GB"/>
        </w:rPr>
        <w:tab/>
        <w:t xml:space="preserve"> </w:t>
      </w:r>
      <w:r w:rsidRPr="00423598">
        <w:rPr>
          <w:lang w:val="en-GB"/>
        </w:rPr>
        <w:tab/>
      </w:r>
      <w:r w:rsidR="002948A6" w:rsidRPr="00423598">
        <w:rPr>
          <w:lang w:val="en-GB"/>
        </w:rPr>
        <w:tab/>
      </w:r>
      <w:r w:rsidR="001B768F" w:rsidRPr="00423598">
        <w:rPr>
          <w:lang w:val="en-GB"/>
        </w:rPr>
        <w:t>Presiding Membe</w:t>
      </w:r>
      <w:r w:rsidR="00B56986" w:rsidRPr="00423598">
        <w:rPr>
          <w:lang w:val="en-GB"/>
        </w:rPr>
        <w:t>r</w:t>
      </w:r>
    </w:p>
    <w:p w:rsidR="00CA379B" w:rsidRPr="00423598" w:rsidRDefault="00CA379B">
      <w:pPr>
        <w:rPr>
          <w:i/>
          <w:lang w:val="en-GB"/>
        </w:rPr>
      </w:pPr>
      <w:r w:rsidRPr="00423598">
        <w:rPr>
          <w:i/>
          <w:lang w:val="en-GB"/>
        </w:rPr>
        <w:br w:type="page"/>
      </w:r>
    </w:p>
    <w:p w:rsidR="008F03DC" w:rsidRPr="00423598" w:rsidRDefault="008F03DC" w:rsidP="003E3F85">
      <w:pPr>
        <w:ind w:left="7200" w:firstLine="720"/>
        <w:jc w:val="center"/>
        <w:rPr>
          <w:i/>
          <w:lang w:val="en-GB"/>
        </w:rPr>
      </w:pPr>
      <w:r w:rsidRPr="00423598">
        <w:rPr>
          <w:i/>
          <w:lang w:val="en-GB"/>
        </w:rPr>
        <w:lastRenderedPageBreak/>
        <w:t>Annex</w:t>
      </w:r>
    </w:p>
    <w:p w:rsidR="004F71FD" w:rsidRPr="00423598" w:rsidRDefault="004F71FD" w:rsidP="004C104C">
      <w:pPr>
        <w:jc w:val="center"/>
        <w:rPr>
          <w:b/>
          <w:lang w:val="en-GB"/>
        </w:rPr>
      </w:pPr>
    </w:p>
    <w:p w:rsidR="00F52A7B" w:rsidRPr="00423598" w:rsidRDefault="00F52A7B" w:rsidP="004C104C">
      <w:pPr>
        <w:jc w:val="center"/>
        <w:rPr>
          <w:lang w:val="en-GB"/>
        </w:rPr>
      </w:pPr>
      <w:r w:rsidRPr="00423598">
        <w:rPr>
          <w:b/>
          <w:lang w:val="en-GB"/>
        </w:rPr>
        <w:t>ABBREVIATIONS AND ACRONYMS</w:t>
      </w:r>
    </w:p>
    <w:p w:rsidR="00F52A7B" w:rsidRPr="00423598" w:rsidRDefault="00F52A7B" w:rsidP="00F52A7B">
      <w:pPr>
        <w:autoSpaceDE w:val="0"/>
        <w:jc w:val="both"/>
        <w:rPr>
          <w:lang w:val="en-GB"/>
        </w:rPr>
      </w:pPr>
    </w:p>
    <w:p w:rsidR="00F52A7B" w:rsidRPr="00423598" w:rsidRDefault="00F52A7B" w:rsidP="00F52A7B">
      <w:pPr>
        <w:autoSpaceDE w:val="0"/>
        <w:jc w:val="both"/>
        <w:rPr>
          <w:lang w:val="en-GB"/>
        </w:rPr>
      </w:pPr>
      <w:r w:rsidRPr="00423598">
        <w:rPr>
          <w:b/>
          <w:lang w:val="en-GB"/>
        </w:rPr>
        <w:t xml:space="preserve">CCIU </w:t>
      </w:r>
      <w:r w:rsidRPr="00423598">
        <w:rPr>
          <w:lang w:val="en-GB"/>
        </w:rPr>
        <w:t>- Central Criminal Investigation Unit</w:t>
      </w:r>
    </w:p>
    <w:p w:rsidR="00F52A7B" w:rsidRPr="00423598" w:rsidRDefault="00F52A7B" w:rsidP="00F52A7B">
      <w:pPr>
        <w:autoSpaceDE w:val="0"/>
        <w:jc w:val="both"/>
        <w:rPr>
          <w:lang w:val="en-GB"/>
        </w:rPr>
      </w:pPr>
      <w:r w:rsidRPr="00423598">
        <w:rPr>
          <w:b/>
          <w:lang w:val="en-GB"/>
        </w:rPr>
        <w:t xml:space="preserve">CCPR – </w:t>
      </w:r>
      <w:r w:rsidRPr="00423598">
        <w:rPr>
          <w:lang w:val="en-GB"/>
        </w:rPr>
        <w:t>International Covenant on Civil and Political Rights</w:t>
      </w:r>
    </w:p>
    <w:p w:rsidR="00F52A7B" w:rsidRPr="00423598" w:rsidRDefault="00F52A7B" w:rsidP="00F52A7B">
      <w:pPr>
        <w:autoSpaceDE w:val="0"/>
        <w:jc w:val="both"/>
        <w:rPr>
          <w:lang w:val="en-GB"/>
        </w:rPr>
      </w:pPr>
      <w:r w:rsidRPr="00423598">
        <w:rPr>
          <w:b/>
          <w:lang w:val="en-GB"/>
        </w:rPr>
        <w:t xml:space="preserve">DOJ </w:t>
      </w:r>
      <w:r w:rsidRPr="00423598">
        <w:rPr>
          <w:lang w:val="en-GB"/>
        </w:rPr>
        <w:t>- Department of Justice</w:t>
      </w:r>
    </w:p>
    <w:p w:rsidR="00F52A7B" w:rsidRPr="00423598" w:rsidRDefault="00F52A7B" w:rsidP="00F52A7B">
      <w:pPr>
        <w:autoSpaceDE w:val="0"/>
        <w:jc w:val="both"/>
        <w:rPr>
          <w:lang w:val="en-GB"/>
        </w:rPr>
      </w:pPr>
      <w:r w:rsidRPr="00423598">
        <w:rPr>
          <w:b/>
          <w:lang w:val="en-GB"/>
        </w:rPr>
        <w:t>DPPO</w:t>
      </w:r>
      <w:r w:rsidRPr="00423598">
        <w:rPr>
          <w:lang w:val="en-GB"/>
        </w:rPr>
        <w:t xml:space="preserve"> - District Public Prosecutor’s Office</w:t>
      </w:r>
    </w:p>
    <w:p w:rsidR="00F52A7B" w:rsidRPr="00423598" w:rsidRDefault="00F52A7B" w:rsidP="00F52A7B">
      <w:pPr>
        <w:autoSpaceDE w:val="0"/>
        <w:jc w:val="both"/>
        <w:rPr>
          <w:lang w:val="en-GB"/>
        </w:rPr>
      </w:pPr>
      <w:r w:rsidRPr="00423598">
        <w:rPr>
          <w:b/>
          <w:lang w:val="en-GB"/>
        </w:rPr>
        <w:t>ECHR</w:t>
      </w:r>
      <w:r w:rsidRPr="00423598">
        <w:rPr>
          <w:lang w:val="en-GB"/>
        </w:rPr>
        <w:t xml:space="preserve"> - European Convention on Human Rights</w:t>
      </w:r>
    </w:p>
    <w:p w:rsidR="00F52A7B" w:rsidRPr="00423598" w:rsidRDefault="00F52A7B" w:rsidP="00F52A7B">
      <w:pPr>
        <w:autoSpaceDE w:val="0"/>
        <w:jc w:val="both"/>
        <w:rPr>
          <w:lang w:val="en-GB"/>
        </w:rPr>
      </w:pPr>
      <w:r w:rsidRPr="00423598">
        <w:rPr>
          <w:b/>
          <w:lang w:val="en-GB"/>
        </w:rPr>
        <w:t xml:space="preserve">ECtHR </w:t>
      </w:r>
      <w:r w:rsidRPr="00423598">
        <w:rPr>
          <w:lang w:val="en-GB"/>
        </w:rPr>
        <w:t xml:space="preserve">- European Court of Human Rights </w:t>
      </w:r>
    </w:p>
    <w:p w:rsidR="00F52A7B" w:rsidRPr="00423598" w:rsidRDefault="00F52A7B" w:rsidP="00F52A7B">
      <w:pPr>
        <w:autoSpaceDE w:val="0"/>
        <w:jc w:val="both"/>
        <w:rPr>
          <w:lang w:val="en-GB"/>
        </w:rPr>
      </w:pPr>
      <w:r w:rsidRPr="00423598">
        <w:rPr>
          <w:b/>
          <w:lang w:val="en-GB"/>
        </w:rPr>
        <w:t>EU</w:t>
      </w:r>
      <w:r w:rsidRPr="00423598">
        <w:rPr>
          <w:lang w:val="en-GB"/>
        </w:rPr>
        <w:t xml:space="preserve"> – European Union</w:t>
      </w:r>
    </w:p>
    <w:p w:rsidR="00F52A7B" w:rsidRPr="00423598" w:rsidRDefault="00F52A7B" w:rsidP="00F52A7B">
      <w:pPr>
        <w:autoSpaceDE w:val="0"/>
        <w:jc w:val="both"/>
        <w:rPr>
          <w:lang w:val="en-GB"/>
        </w:rPr>
      </w:pPr>
      <w:r w:rsidRPr="00423598">
        <w:rPr>
          <w:b/>
          <w:lang w:val="en-GB"/>
        </w:rPr>
        <w:t>EULEX</w:t>
      </w:r>
      <w:r w:rsidRPr="00423598">
        <w:rPr>
          <w:lang w:val="en-GB"/>
        </w:rPr>
        <w:t xml:space="preserve"> - European Union Rule of Law Mission in Kosovo</w:t>
      </w:r>
    </w:p>
    <w:p w:rsidR="00F52A7B" w:rsidRPr="00423598" w:rsidRDefault="00F52A7B" w:rsidP="00F52A7B">
      <w:pPr>
        <w:autoSpaceDE w:val="0"/>
        <w:jc w:val="both"/>
        <w:rPr>
          <w:lang w:val="en-GB"/>
        </w:rPr>
      </w:pPr>
      <w:r w:rsidRPr="00423598">
        <w:rPr>
          <w:b/>
          <w:lang w:val="en-GB"/>
        </w:rPr>
        <w:t xml:space="preserve">FRY </w:t>
      </w:r>
      <w:r w:rsidRPr="00423598">
        <w:rPr>
          <w:lang w:val="en-GB"/>
        </w:rPr>
        <w:t>-</w:t>
      </w:r>
      <w:r w:rsidR="00D47E53" w:rsidRPr="00423598">
        <w:rPr>
          <w:lang w:val="en-GB"/>
        </w:rPr>
        <w:t xml:space="preserve"> Federal Republic of Yugoslavia</w:t>
      </w:r>
    </w:p>
    <w:p w:rsidR="00D47E53" w:rsidRPr="00423598" w:rsidRDefault="00D47E53" w:rsidP="00F52A7B">
      <w:pPr>
        <w:autoSpaceDE w:val="0"/>
        <w:jc w:val="both"/>
        <w:rPr>
          <w:lang w:val="en-GB"/>
        </w:rPr>
      </w:pPr>
      <w:r w:rsidRPr="00423598">
        <w:rPr>
          <w:b/>
          <w:lang w:val="en-GB"/>
        </w:rPr>
        <w:t>FYROM</w:t>
      </w:r>
      <w:r w:rsidRPr="00423598">
        <w:rPr>
          <w:lang w:val="en-GB"/>
        </w:rPr>
        <w:t xml:space="preserve"> - Former Yugoslav Republic of Macedonia</w:t>
      </w:r>
    </w:p>
    <w:p w:rsidR="00F52A7B" w:rsidRPr="00423598" w:rsidRDefault="00F52A7B" w:rsidP="00F52A7B">
      <w:pPr>
        <w:autoSpaceDE w:val="0"/>
        <w:jc w:val="both"/>
        <w:rPr>
          <w:lang w:val="en-GB"/>
        </w:rPr>
      </w:pPr>
      <w:r w:rsidRPr="00423598">
        <w:rPr>
          <w:b/>
          <w:lang w:val="en-GB"/>
        </w:rPr>
        <w:t xml:space="preserve">HRAP </w:t>
      </w:r>
      <w:r w:rsidRPr="00423598">
        <w:rPr>
          <w:lang w:val="en-GB"/>
        </w:rPr>
        <w:t>- Human Rights Advisory Panel</w:t>
      </w:r>
    </w:p>
    <w:p w:rsidR="00F52A7B" w:rsidRPr="00423598" w:rsidRDefault="00F52A7B" w:rsidP="00F52A7B">
      <w:pPr>
        <w:autoSpaceDE w:val="0"/>
        <w:jc w:val="both"/>
        <w:rPr>
          <w:lang w:val="en-GB"/>
        </w:rPr>
      </w:pPr>
      <w:r w:rsidRPr="00423598">
        <w:rPr>
          <w:b/>
          <w:lang w:val="en-GB"/>
        </w:rPr>
        <w:t>HRC</w:t>
      </w:r>
      <w:r w:rsidR="009E5B51" w:rsidRPr="00423598">
        <w:rPr>
          <w:lang w:val="en-GB"/>
        </w:rPr>
        <w:t xml:space="preserve"> -</w:t>
      </w:r>
      <w:r w:rsidRPr="00423598">
        <w:rPr>
          <w:lang w:val="en-GB"/>
        </w:rPr>
        <w:t xml:space="preserve"> United Nation Human Rights Committee</w:t>
      </w:r>
    </w:p>
    <w:p w:rsidR="00316A34" w:rsidRPr="00423598" w:rsidRDefault="00316A34" w:rsidP="00F52A7B">
      <w:pPr>
        <w:autoSpaceDE w:val="0"/>
        <w:jc w:val="both"/>
        <w:rPr>
          <w:lang w:val="en-GB"/>
        </w:rPr>
      </w:pPr>
      <w:r w:rsidRPr="00423598">
        <w:rPr>
          <w:b/>
          <w:lang w:val="en-GB"/>
        </w:rPr>
        <w:t xml:space="preserve">HQ </w:t>
      </w:r>
      <w:r w:rsidRPr="00423598">
        <w:rPr>
          <w:lang w:val="en-GB"/>
        </w:rPr>
        <w:t>- Headquarters</w:t>
      </w:r>
    </w:p>
    <w:p w:rsidR="00F52A7B" w:rsidRPr="00423598" w:rsidRDefault="00F52A7B" w:rsidP="00F52A7B">
      <w:pPr>
        <w:autoSpaceDE w:val="0"/>
        <w:jc w:val="both"/>
        <w:rPr>
          <w:lang w:val="en-GB"/>
        </w:rPr>
      </w:pPr>
      <w:r w:rsidRPr="00423598">
        <w:rPr>
          <w:b/>
          <w:lang w:val="en-GB"/>
        </w:rPr>
        <w:t xml:space="preserve">IACtHR </w:t>
      </w:r>
      <w:r w:rsidRPr="00423598">
        <w:rPr>
          <w:lang w:val="en-GB"/>
        </w:rPr>
        <w:t>– Inter-American Court of Human Rights</w:t>
      </w:r>
    </w:p>
    <w:p w:rsidR="00F52A7B" w:rsidRPr="00423598" w:rsidRDefault="00F52A7B" w:rsidP="00F52A7B">
      <w:pPr>
        <w:autoSpaceDE w:val="0"/>
        <w:jc w:val="both"/>
        <w:rPr>
          <w:lang w:val="en-GB"/>
        </w:rPr>
      </w:pPr>
      <w:r w:rsidRPr="00423598">
        <w:rPr>
          <w:b/>
          <w:lang w:val="en-GB"/>
        </w:rPr>
        <w:t>ICMP</w:t>
      </w:r>
      <w:r w:rsidRPr="00423598">
        <w:rPr>
          <w:lang w:val="en-GB"/>
        </w:rPr>
        <w:t xml:space="preserve"> - International Commission of Missing Persons</w:t>
      </w:r>
    </w:p>
    <w:p w:rsidR="00F52A7B" w:rsidRPr="00423598" w:rsidRDefault="00F52A7B" w:rsidP="00F52A7B">
      <w:pPr>
        <w:autoSpaceDE w:val="0"/>
        <w:jc w:val="both"/>
        <w:rPr>
          <w:lang w:val="en-GB"/>
        </w:rPr>
      </w:pPr>
      <w:r w:rsidRPr="00423598">
        <w:rPr>
          <w:b/>
          <w:lang w:val="en-GB"/>
        </w:rPr>
        <w:t>ICRC</w:t>
      </w:r>
      <w:r w:rsidRPr="00423598">
        <w:rPr>
          <w:lang w:val="en-GB"/>
        </w:rPr>
        <w:t xml:space="preserve"> - International Committee of the Red Cross</w:t>
      </w:r>
    </w:p>
    <w:p w:rsidR="00F52A7B" w:rsidRPr="00423598" w:rsidRDefault="00F52A7B" w:rsidP="00F52A7B">
      <w:pPr>
        <w:autoSpaceDE w:val="0"/>
        <w:jc w:val="both"/>
        <w:rPr>
          <w:lang w:val="en-GB"/>
        </w:rPr>
      </w:pPr>
      <w:r w:rsidRPr="00423598">
        <w:rPr>
          <w:b/>
          <w:lang w:val="en-GB"/>
        </w:rPr>
        <w:t xml:space="preserve">ICTY </w:t>
      </w:r>
      <w:r w:rsidRPr="00423598">
        <w:rPr>
          <w:lang w:val="en-GB"/>
        </w:rPr>
        <w:t>- International Criminal Tribunal for former Yugoslavia</w:t>
      </w:r>
    </w:p>
    <w:p w:rsidR="00F52A7B" w:rsidRPr="00423598" w:rsidRDefault="00F52A7B" w:rsidP="00F52A7B">
      <w:pPr>
        <w:autoSpaceDE w:val="0"/>
        <w:jc w:val="both"/>
        <w:rPr>
          <w:lang w:val="en-GB"/>
        </w:rPr>
      </w:pPr>
      <w:r w:rsidRPr="00423598">
        <w:rPr>
          <w:b/>
          <w:lang w:val="en-GB"/>
        </w:rPr>
        <w:t>KFOR</w:t>
      </w:r>
      <w:r w:rsidRPr="00423598">
        <w:rPr>
          <w:lang w:val="en-GB"/>
        </w:rPr>
        <w:t xml:space="preserve"> - International Security Force (commonly known as Kosovo Force)</w:t>
      </w:r>
    </w:p>
    <w:p w:rsidR="00F52A7B" w:rsidRPr="00423598" w:rsidRDefault="00F52A7B" w:rsidP="00F52A7B">
      <w:pPr>
        <w:autoSpaceDE w:val="0"/>
        <w:jc w:val="both"/>
        <w:rPr>
          <w:lang w:val="en-GB"/>
        </w:rPr>
      </w:pPr>
      <w:r w:rsidRPr="00423598">
        <w:rPr>
          <w:b/>
          <w:lang w:val="en-GB"/>
        </w:rPr>
        <w:t>KLA</w:t>
      </w:r>
      <w:r w:rsidRPr="00423598">
        <w:rPr>
          <w:lang w:val="en-GB"/>
        </w:rPr>
        <w:t xml:space="preserve"> - Kosovo Liberation Army</w:t>
      </w:r>
    </w:p>
    <w:p w:rsidR="00F52A7B" w:rsidRPr="00423598" w:rsidRDefault="00F52A7B" w:rsidP="00F52A7B">
      <w:pPr>
        <w:autoSpaceDE w:val="0"/>
        <w:jc w:val="both"/>
        <w:rPr>
          <w:b/>
          <w:lang w:val="en-GB"/>
        </w:rPr>
      </w:pPr>
      <w:r w:rsidRPr="00423598">
        <w:rPr>
          <w:b/>
          <w:lang w:val="en-GB"/>
        </w:rPr>
        <w:t xml:space="preserve">MoU - </w:t>
      </w:r>
      <w:r w:rsidRPr="00423598">
        <w:rPr>
          <w:lang w:val="en-GB"/>
        </w:rPr>
        <w:t>Memorandum of Understanding</w:t>
      </w:r>
    </w:p>
    <w:p w:rsidR="00F52A7B" w:rsidRPr="00423598" w:rsidRDefault="00F52A7B" w:rsidP="00F52A7B">
      <w:pPr>
        <w:autoSpaceDE w:val="0"/>
        <w:jc w:val="both"/>
        <w:rPr>
          <w:lang w:val="en-GB"/>
        </w:rPr>
      </w:pPr>
      <w:r w:rsidRPr="00423598">
        <w:rPr>
          <w:b/>
          <w:lang w:val="en-GB"/>
        </w:rPr>
        <w:t xml:space="preserve">MPU </w:t>
      </w:r>
      <w:r w:rsidRPr="00423598">
        <w:rPr>
          <w:lang w:val="en-GB"/>
        </w:rPr>
        <w:t>- Missing Persons Unit</w:t>
      </w:r>
    </w:p>
    <w:p w:rsidR="00F52A7B" w:rsidRPr="00423598" w:rsidRDefault="00F52A7B" w:rsidP="00F52A7B">
      <w:pPr>
        <w:autoSpaceDE w:val="0"/>
        <w:jc w:val="both"/>
        <w:rPr>
          <w:lang w:val="en-GB"/>
        </w:rPr>
      </w:pPr>
      <w:r w:rsidRPr="00423598">
        <w:rPr>
          <w:b/>
          <w:lang w:val="en-GB"/>
        </w:rPr>
        <w:t>NATO</w:t>
      </w:r>
      <w:r w:rsidRPr="00423598">
        <w:rPr>
          <w:lang w:val="en-GB"/>
        </w:rPr>
        <w:t xml:space="preserve"> - North Atlantic Treaty Organization </w:t>
      </w:r>
    </w:p>
    <w:p w:rsidR="00F52A7B" w:rsidRPr="00423598" w:rsidRDefault="00F52A7B" w:rsidP="00F52A7B">
      <w:pPr>
        <w:autoSpaceDE w:val="0"/>
        <w:jc w:val="both"/>
        <w:rPr>
          <w:lang w:val="en-GB"/>
        </w:rPr>
      </w:pPr>
      <w:r w:rsidRPr="00423598">
        <w:rPr>
          <w:b/>
          <w:lang w:val="en-GB"/>
        </w:rPr>
        <w:t>OMPF</w:t>
      </w:r>
      <w:r w:rsidRPr="00423598">
        <w:rPr>
          <w:lang w:val="en-GB"/>
        </w:rPr>
        <w:t xml:space="preserve"> - Office on Missing Persons and Forensics</w:t>
      </w:r>
    </w:p>
    <w:p w:rsidR="00F52A7B" w:rsidRPr="00423598" w:rsidRDefault="00F52A7B" w:rsidP="00F52A7B">
      <w:pPr>
        <w:autoSpaceDE w:val="0"/>
        <w:jc w:val="both"/>
        <w:rPr>
          <w:lang w:val="en-GB"/>
        </w:rPr>
      </w:pPr>
      <w:r w:rsidRPr="00423598">
        <w:rPr>
          <w:b/>
          <w:lang w:val="en-GB"/>
        </w:rPr>
        <w:t>OSCE</w:t>
      </w:r>
      <w:r w:rsidRPr="00423598">
        <w:rPr>
          <w:lang w:val="en-GB"/>
        </w:rPr>
        <w:t xml:space="preserve"> - Organization for Security and Cooperation in Europe</w:t>
      </w:r>
    </w:p>
    <w:p w:rsidR="00F52A7B" w:rsidRPr="00423598" w:rsidRDefault="00F52A7B" w:rsidP="00F52A7B">
      <w:pPr>
        <w:autoSpaceDE w:val="0"/>
        <w:jc w:val="both"/>
        <w:rPr>
          <w:lang w:val="en-GB"/>
        </w:rPr>
      </w:pPr>
      <w:r w:rsidRPr="00423598">
        <w:rPr>
          <w:b/>
          <w:lang w:val="en-GB"/>
        </w:rPr>
        <w:t>RIU</w:t>
      </w:r>
      <w:r w:rsidRPr="00423598">
        <w:rPr>
          <w:lang w:val="en-GB"/>
        </w:rPr>
        <w:t xml:space="preserve"> - Regional Investigation Unit</w:t>
      </w:r>
    </w:p>
    <w:p w:rsidR="00C81EF3" w:rsidRPr="00423598" w:rsidRDefault="00C81EF3" w:rsidP="00F52A7B">
      <w:pPr>
        <w:autoSpaceDE w:val="0"/>
        <w:jc w:val="both"/>
        <w:rPr>
          <w:b/>
          <w:lang w:val="en-GB"/>
        </w:rPr>
      </w:pPr>
      <w:r w:rsidRPr="00423598">
        <w:rPr>
          <w:b/>
          <w:lang w:val="en-GB"/>
        </w:rPr>
        <w:t xml:space="preserve">SIU – </w:t>
      </w:r>
      <w:r w:rsidRPr="00423598">
        <w:rPr>
          <w:lang w:val="en-GB"/>
        </w:rPr>
        <w:t>Special Investigations Unit of the UNMIK Security</w:t>
      </w:r>
    </w:p>
    <w:p w:rsidR="00F52A7B" w:rsidRPr="00423598" w:rsidRDefault="00F52A7B" w:rsidP="00F52A7B">
      <w:pPr>
        <w:autoSpaceDE w:val="0"/>
        <w:jc w:val="both"/>
        <w:rPr>
          <w:lang w:val="en-GB"/>
        </w:rPr>
      </w:pPr>
      <w:r w:rsidRPr="00423598">
        <w:rPr>
          <w:b/>
          <w:lang w:val="en-GB"/>
        </w:rPr>
        <w:t>SRSG</w:t>
      </w:r>
      <w:r w:rsidRPr="00423598">
        <w:rPr>
          <w:lang w:val="en-GB"/>
        </w:rPr>
        <w:t xml:space="preserve"> - Special Representative of the Secretary-General </w:t>
      </w:r>
    </w:p>
    <w:p w:rsidR="00F52A7B" w:rsidRPr="00423598" w:rsidRDefault="00F52A7B" w:rsidP="00F52A7B">
      <w:pPr>
        <w:autoSpaceDE w:val="0"/>
        <w:jc w:val="both"/>
        <w:rPr>
          <w:lang w:val="en-GB"/>
        </w:rPr>
      </w:pPr>
      <w:r w:rsidRPr="00423598">
        <w:rPr>
          <w:b/>
          <w:lang w:val="en-GB"/>
        </w:rPr>
        <w:t>UN</w:t>
      </w:r>
      <w:r w:rsidRPr="00423598">
        <w:rPr>
          <w:lang w:val="en-GB"/>
        </w:rPr>
        <w:t xml:space="preserve"> - United Nations</w:t>
      </w:r>
    </w:p>
    <w:p w:rsidR="00F52A7B" w:rsidRPr="00423598" w:rsidRDefault="00F52A7B" w:rsidP="00F52A7B">
      <w:pPr>
        <w:autoSpaceDE w:val="0"/>
        <w:jc w:val="both"/>
        <w:rPr>
          <w:lang w:val="en-GB"/>
        </w:rPr>
      </w:pPr>
      <w:r w:rsidRPr="00423598">
        <w:rPr>
          <w:b/>
          <w:lang w:val="en-GB"/>
        </w:rPr>
        <w:t xml:space="preserve">UNHCR </w:t>
      </w:r>
      <w:r w:rsidRPr="00423598">
        <w:rPr>
          <w:lang w:val="en-GB"/>
        </w:rPr>
        <w:t>- United Nations High Commissioner for Refugees</w:t>
      </w:r>
    </w:p>
    <w:p w:rsidR="00F52A7B" w:rsidRPr="00423598" w:rsidRDefault="00F52A7B" w:rsidP="00F52A7B">
      <w:pPr>
        <w:autoSpaceDE w:val="0"/>
        <w:jc w:val="both"/>
        <w:rPr>
          <w:lang w:val="en-GB"/>
        </w:rPr>
      </w:pPr>
      <w:r w:rsidRPr="00423598">
        <w:rPr>
          <w:b/>
          <w:lang w:val="en-GB"/>
        </w:rPr>
        <w:t>UNMIK</w:t>
      </w:r>
      <w:r w:rsidRPr="00423598">
        <w:rPr>
          <w:lang w:val="en-GB"/>
        </w:rPr>
        <w:t xml:space="preserve"> - United Nations Interim Administration Mission in Kosovo </w:t>
      </w:r>
    </w:p>
    <w:p w:rsidR="00F52A7B" w:rsidRPr="00423598" w:rsidRDefault="00F52A7B" w:rsidP="00F52A7B">
      <w:pPr>
        <w:autoSpaceDE w:val="0"/>
        <w:jc w:val="both"/>
        <w:rPr>
          <w:lang w:val="en-GB"/>
        </w:rPr>
      </w:pPr>
      <w:r w:rsidRPr="00423598">
        <w:rPr>
          <w:b/>
          <w:lang w:val="en-GB"/>
        </w:rPr>
        <w:t>VRIC</w:t>
      </w:r>
      <w:r w:rsidRPr="00423598">
        <w:rPr>
          <w:lang w:val="en-GB"/>
        </w:rPr>
        <w:t xml:space="preserve"> - Victim Recovery and Identification Commission</w:t>
      </w:r>
    </w:p>
    <w:p w:rsidR="00546DB5" w:rsidRPr="001F7985" w:rsidRDefault="00F52A7B">
      <w:pPr>
        <w:autoSpaceDE w:val="0"/>
        <w:jc w:val="both"/>
        <w:rPr>
          <w:lang w:val="en-GB"/>
        </w:rPr>
      </w:pPr>
      <w:r w:rsidRPr="00423598">
        <w:rPr>
          <w:b/>
          <w:lang w:val="en-GB"/>
        </w:rPr>
        <w:t xml:space="preserve">WCIU </w:t>
      </w:r>
      <w:r w:rsidRPr="00423598">
        <w:rPr>
          <w:lang w:val="en-GB"/>
        </w:rPr>
        <w:t>- War Crimes Investigation Unit</w:t>
      </w: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EA" w:rsidRDefault="00D30AEA">
      <w:r>
        <w:separator/>
      </w:r>
    </w:p>
  </w:endnote>
  <w:endnote w:type="continuationSeparator" w:id="0">
    <w:p w:rsidR="00D30AEA" w:rsidRDefault="00D3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EA" w:rsidRDefault="00D30AEA">
      <w:r>
        <w:separator/>
      </w:r>
    </w:p>
  </w:footnote>
  <w:footnote w:type="continuationSeparator" w:id="0">
    <w:p w:rsidR="00D30AEA" w:rsidRDefault="00D30AEA">
      <w:r>
        <w:continuationSeparator/>
      </w:r>
    </w:p>
  </w:footnote>
  <w:footnote w:id="1">
    <w:p w:rsidR="00DD03C6" w:rsidRPr="000C1973" w:rsidRDefault="00DD03C6"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DD03C6" w:rsidRPr="001732BF" w:rsidRDefault="00DD03C6"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DD03C6" w:rsidRPr="000F55DA" w:rsidRDefault="00DD03C6" w:rsidP="00E35F59">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Pr>
          <w:rFonts w:ascii="Times New Roman" w:hAnsi="Times New Roman"/>
          <w:sz w:val="20"/>
        </w:rPr>
        <w:t xml:space="preserve"> The</w:t>
      </w:r>
      <w:r w:rsidRPr="000F55DA">
        <w:rPr>
          <w:rFonts w:ascii="Times New Roman" w:hAnsi="Times New Roman"/>
          <w:sz w:val="20"/>
        </w:rPr>
        <w:t xml:space="preserve"> OMPF database is not open to public. The Panel accessed i</w:t>
      </w:r>
      <w:r>
        <w:rPr>
          <w:rFonts w:ascii="Times New Roman" w:hAnsi="Times New Roman"/>
          <w:sz w:val="20"/>
        </w:rPr>
        <w:t>t with regard to this case on 10</w:t>
      </w:r>
      <w:r w:rsidRPr="000F55DA">
        <w:rPr>
          <w:rFonts w:ascii="Times New Roman" w:hAnsi="Times New Roman"/>
          <w:sz w:val="20"/>
        </w:rPr>
        <w:t xml:space="preserve"> </w:t>
      </w:r>
      <w:r w:rsidR="007D1776">
        <w:rPr>
          <w:rFonts w:ascii="Times New Roman" w:hAnsi="Times New Roman"/>
          <w:sz w:val="20"/>
        </w:rPr>
        <w:t>October</w:t>
      </w:r>
      <w:r w:rsidRPr="000F55DA">
        <w:rPr>
          <w:rFonts w:ascii="Times New Roman" w:hAnsi="Times New Roman"/>
          <w:sz w:val="20"/>
        </w:rPr>
        <w:t xml:space="preserve"> 2014.</w:t>
      </w:r>
    </w:p>
  </w:footnote>
  <w:footnote w:id="4">
    <w:p w:rsidR="00DD03C6" w:rsidRPr="000F55DA" w:rsidRDefault="00DD03C6" w:rsidP="00E35F59">
      <w:pPr>
        <w:pStyle w:val="FootnoteText"/>
        <w:jc w:val="both"/>
        <w:rPr>
          <w:rFonts w:ascii="Times New Roman" w:hAnsi="Times New Roman"/>
          <w:sz w:val="20"/>
        </w:rPr>
      </w:pPr>
      <w:r w:rsidRPr="000F55DA">
        <w:rPr>
          <w:rStyle w:val="FootnoteReference"/>
          <w:rFonts w:ascii="Times New Roman" w:hAnsi="Times New Roman"/>
          <w:sz w:val="20"/>
        </w:rPr>
        <w:footnoteRef/>
      </w:r>
      <w:r>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 xml:space="preserve">10 </w:t>
      </w:r>
      <w:r w:rsidR="007D1776">
        <w:rPr>
          <w:rFonts w:ascii="Times New Roman" w:hAnsi="Times New Roman"/>
          <w:sz w:val="20"/>
        </w:rPr>
        <w:t>October</w:t>
      </w:r>
      <w:r>
        <w:rPr>
          <w:rFonts w:ascii="Times New Roman" w:hAnsi="Times New Roman"/>
          <w:sz w:val="20"/>
        </w:rPr>
        <w:t xml:space="preserve"> 2014</w:t>
      </w:r>
      <w:r w:rsidRPr="000F55DA">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C6" w:rsidRPr="000722CE" w:rsidRDefault="00DD03C6">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D142E8">
      <w:rPr>
        <w:noProof/>
        <w:sz w:val="20"/>
        <w:szCs w:val="20"/>
      </w:rPr>
      <w:t>19</w:t>
    </w:r>
    <w:r w:rsidRPr="000722CE">
      <w:rPr>
        <w:sz w:val="20"/>
        <w:szCs w:val="20"/>
      </w:rPr>
      <w:fldChar w:fldCharType="end"/>
    </w:r>
  </w:p>
  <w:p w:rsidR="00DD03C6" w:rsidRDefault="00DD0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AED22550"/>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7"/>
  </w:num>
  <w:num w:numId="5">
    <w:abstractNumId w:val="10"/>
  </w:num>
  <w:num w:numId="6">
    <w:abstractNumId w:val="2"/>
  </w:num>
  <w:num w:numId="7">
    <w:abstractNumId w:val="8"/>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1AA5"/>
    <w:rsid w:val="00183978"/>
    <w:rsid w:val="0018424E"/>
    <w:rsid w:val="00184384"/>
    <w:rsid w:val="001852D9"/>
    <w:rsid w:val="00186B18"/>
    <w:rsid w:val="00190271"/>
    <w:rsid w:val="00194191"/>
    <w:rsid w:val="00194800"/>
    <w:rsid w:val="00194D93"/>
    <w:rsid w:val="00195ECC"/>
    <w:rsid w:val="00197979"/>
    <w:rsid w:val="001A08B0"/>
    <w:rsid w:val="001A4AF8"/>
    <w:rsid w:val="001A57F8"/>
    <w:rsid w:val="001A5F6B"/>
    <w:rsid w:val="001A6816"/>
    <w:rsid w:val="001B155D"/>
    <w:rsid w:val="001B1A1A"/>
    <w:rsid w:val="001B241F"/>
    <w:rsid w:val="001B44B7"/>
    <w:rsid w:val="001B4620"/>
    <w:rsid w:val="001B4F35"/>
    <w:rsid w:val="001B6B46"/>
    <w:rsid w:val="001B768F"/>
    <w:rsid w:val="001B7E46"/>
    <w:rsid w:val="001C0F0F"/>
    <w:rsid w:val="001C2229"/>
    <w:rsid w:val="001C238F"/>
    <w:rsid w:val="001C6555"/>
    <w:rsid w:val="001D2C42"/>
    <w:rsid w:val="001D311B"/>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4D2"/>
    <w:rsid w:val="00207662"/>
    <w:rsid w:val="00207EF6"/>
    <w:rsid w:val="002119C2"/>
    <w:rsid w:val="0021476D"/>
    <w:rsid w:val="002147F2"/>
    <w:rsid w:val="00215EA8"/>
    <w:rsid w:val="00222D2F"/>
    <w:rsid w:val="00225BAB"/>
    <w:rsid w:val="002274C0"/>
    <w:rsid w:val="00231A61"/>
    <w:rsid w:val="00231EE6"/>
    <w:rsid w:val="0023308F"/>
    <w:rsid w:val="0023537F"/>
    <w:rsid w:val="002360DA"/>
    <w:rsid w:val="002361C0"/>
    <w:rsid w:val="00236A14"/>
    <w:rsid w:val="00237A05"/>
    <w:rsid w:val="00242881"/>
    <w:rsid w:val="002437E9"/>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3EC5"/>
    <w:rsid w:val="003E3F85"/>
    <w:rsid w:val="003E5FA6"/>
    <w:rsid w:val="003E64E0"/>
    <w:rsid w:val="003E74BC"/>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903"/>
    <w:rsid w:val="00440E88"/>
    <w:rsid w:val="0044246C"/>
    <w:rsid w:val="00443568"/>
    <w:rsid w:val="00445EAD"/>
    <w:rsid w:val="0044617E"/>
    <w:rsid w:val="00452920"/>
    <w:rsid w:val="004534C4"/>
    <w:rsid w:val="00455594"/>
    <w:rsid w:val="00456871"/>
    <w:rsid w:val="00461097"/>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86D"/>
    <w:rsid w:val="005F689D"/>
    <w:rsid w:val="005F6DB3"/>
    <w:rsid w:val="005F742B"/>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6D88"/>
    <w:rsid w:val="00627BF9"/>
    <w:rsid w:val="00627C8E"/>
    <w:rsid w:val="0063039E"/>
    <w:rsid w:val="006366D0"/>
    <w:rsid w:val="00640576"/>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E057A"/>
    <w:rsid w:val="008E20B9"/>
    <w:rsid w:val="008E3F48"/>
    <w:rsid w:val="008E4C8E"/>
    <w:rsid w:val="008E61A6"/>
    <w:rsid w:val="008E71FD"/>
    <w:rsid w:val="008F03DC"/>
    <w:rsid w:val="008F147E"/>
    <w:rsid w:val="008F2AA2"/>
    <w:rsid w:val="008F30A1"/>
    <w:rsid w:val="008F490D"/>
    <w:rsid w:val="008F7CC9"/>
    <w:rsid w:val="00900AAF"/>
    <w:rsid w:val="0090154E"/>
    <w:rsid w:val="00901792"/>
    <w:rsid w:val="00901E52"/>
    <w:rsid w:val="009036E8"/>
    <w:rsid w:val="009045A8"/>
    <w:rsid w:val="00910794"/>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27FB"/>
    <w:rsid w:val="00994207"/>
    <w:rsid w:val="00994262"/>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D04C5"/>
    <w:rsid w:val="009D0619"/>
    <w:rsid w:val="009D0690"/>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92"/>
    <w:rsid w:val="00AC77BA"/>
    <w:rsid w:val="00AD13A7"/>
    <w:rsid w:val="00AD2553"/>
    <w:rsid w:val="00AD31FE"/>
    <w:rsid w:val="00AD4851"/>
    <w:rsid w:val="00AD5565"/>
    <w:rsid w:val="00AD5EFF"/>
    <w:rsid w:val="00AD5FE6"/>
    <w:rsid w:val="00AD68EF"/>
    <w:rsid w:val="00AD7E04"/>
    <w:rsid w:val="00AE399C"/>
    <w:rsid w:val="00AE4660"/>
    <w:rsid w:val="00AE51FC"/>
    <w:rsid w:val="00AE5762"/>
    <w:rsid w:val="00AE69E9"/>
    <w:rsid w:val="00AF00F9"/>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1D8A"/>
    <w:rsid w:val="00B53FEB"/>
    <w:rsid w:val="00B56986"/>
    <w:rsid w:val="00B56BF9"/>
    <w:rsid w:val="00B63490"/>
    <w:rsid w:val="00B645A8"/>
    <w:rsid w:val="00B66BBF"/>
    <w:rsid w:val="00B6742D"/>
    <w:rsid w:val="00B724DF"/>
    <w:rsid w:val="00B726FC"/>
    <w:rsid w:val="00B7270F"/>
    <w:rsid w:val="00B76005"/>
    <w:rsid w:val="00B804B9"/>
    <w:rsid w:val="00B80FC3"/>
    <w:rsid w:val="00B815D4"/>
    <w:rsid w:val="00B8203E"/>
    <w:rsid w:val="00B83278"/>
    <w:rsid w:val="00B83B58"/>
    <w:rsid w:val="00B85CE4"/>
    <w:rsid w:val="00B86977"/>
    <w:rsid w:val="00B86E45"/>
    <w:rsid w:val="00B87538"/>
    <w:rsid w:val="00B92495"/>
    <w:rsid w:val="00B930D1"/>
    <w:rsid w:val="00BA0F5B"/>
    <w:rsid w:val="00BA1DDB"/>
    <w:rsid w:val="00BA2D7C"/>
    <w:rsid w:val="00BB0B51"/>
    <w:rsid w:val="00BB1081"/>
    <w:rsid w:val="00BB18A5"/>
    <w:rsid w:val="00BB5328"/>
    <w:rsid w:val="00BB6721"/>
    <w:rsid w:val="00BB6D67"/>
    <w:rsid w:val="00BC4DA7"/>
    <w:rsid w:val="00BC607D"/>
    <w:rsid w:val="00BC6CD8"/>
    <w:rsid w:val="00BD00C3"/>
    <w:rsid w:val="00BD07E7"/>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20AE"/>
    <w:rsid w:val="00C36885"/>
    <w:rsid w:val="00C376EA"/>
    <w:rsid w:val="00C41622"/>
    <w:rsid w:val="00C44BD1"/>
    <w:rsid w:val="00C45577"/>
    <w:rsid w:val="00C45A68"/>
    <w:rsid w:val="00C4646C"/>
    <w:rsid w:val="00C46754"/>
    <w:rsid w:val="00C46FD8"/>
    <w:rsid w:val="00C50C41"/>
    <w:rsid w:val="00C50E53"/>
    <w:rsid w:val="00C526FF"/>
    <w:rsid w:val="00C5651A"/>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50DF"/>
    <w:rsid w:val="00CB6245"/>
    <w:rsid w:val="00CB6545"/>
    <w:rsid w:val="00CC223C"/>
    <w:rsid w:val="00CC2755"/>
    <w:rsid w:val="00CC51DA"/>
    <w:rsid w:val="00CC6B19"/>
    <w:rsid w:val="00CC7B53"/>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563C"/>
    <w:rsid w:val="00CF7241"/>
    <w:rsid w:val="00D01AD3"/>
    <w:rsid w:val="00D0220B"/>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430A"/>
    <w:rsid w:val="00DC694D"/>
    <w:rsid w:val="00DD03C6"/>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A24"/>
    <w:rsid w:val="00E60FA8"/>
    <w:rsid w:val="00E646A4"/>
    <w:rsid w:val="00E646BB"/>
    <w:rsid w:val="00E64D10"/>
    <w:rsid w:val="00E6706B"/>
    <w:rsid w:val="00E67FC2"/>
    <w:rsid w:val="00E7030E"/>
    <w:rsid w:val="00E72180"/>
    <w:rsid w:val="00E74C85"/>
    <w:rsid w:val="00E75490"/>
    <w:rsid w:val="00E7633D"/>
    <w:rsid w:val="00E764CC"/>
    <w:rsid w:val="00E77C72"/>
    <w:rsid w:val="00E81C89"/>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1EDC"/>
    <w:rsid w:val="00F12F42"/>
    <w:rsid w:val="00F13DE4"/>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BUDIMIR, Olivera</Reference>
    <Case_x0020_Year xmlns="63130c8a-8d1f-4e28-8ee3-43603ca9ef3b">2009</Case_x0020_Year>
    <Case_x0020_Status xmlns="16f2acb5-7363-4076-9084-069fc3bb4325">CASE CLOSED</Case_x0020_Status>
    <Date_x0020_of_x0020_Adoption xmlns="16f2acb5-7363-4076-9084-069fc3bb4325">2014-10-16T22:00:00+00:00</Date_x0020_of_x0020_Adoption>
    <Case_x0020_Number xmlns="16f2acb5-7363-4076-9084-069fc3bb4325">219/09</Case_x0020_Number>
    <Type_x0020_of_x0020_Document xmlns="16f2acb5-7363-4076-9084-069fc3bb4325">Opinion</Type_x0020_of_x0020_Document>
    <_dlc_DocId xmlns="b9fab99d-1571-47f6-8995-3a195ef041f8">M5JDUUKXSQ5W-25-1046</_dlc_DocId>
    <_dlc_DocIdUrl xmlns="b9fab99d-1571-47f6-8995-3a195ef041f8">
      <Url>http://www.unmikonline.org/hrap/Eng/_layouts/DocIdRedir.aspx?ID=M5JDUUKXSQ5W-25-1046</Url>
      <Description>M5JDUUKXSQ5W-25-1046</Description>
    </_dlc_DocIdUrl>
  </documentManagement>
</p:properties>
</file>

<file path=customXml/itemProps1.xml><?xml version="1.0" encoding="utf-8"?>
<ds:datastoreItem xmlns:ds="http://schemas.openxmlformats.org/officeDocument/2006/customXml" ds:itemID="{57143390-A835-436A-9C3C-05D004C32A5C}"/>
</file>

<file path=customXml/itemProps2.xml><?xml version="1.0" encoding="utf-8"?>
<ds:datastoreItem xmlns:ds="http://schemas.openxmlformats.org/officeDocument/2006/customXml" ds:itemID="{55F124BC-F56D-419D-A71D-4907D5E94545}"/>
</file>

<file path=customXml/itemProps3.xml><?xml version="1.0" encoding="utf-8"?>
<ds:datastoreItem xmlns:ds="http://schemas.openxmlformats.org/officeDocument/2006/customXml" ds:itemID="{054E44B7-35BA-43FD-A4B1-BD80BA3EE9EC}"/>
</file>

<file path=customXml/itemProps4.xml><?xml version="1.0" encoding="utf-8"?>
<ds:datastoreItem xmlns:ds="http://schemas.openxmlformats.org/officeDocument/2006/customXml" ds:itemID="{B46FD37F-FBF7-4F2C-8920-DEBE467EC96F}"/>
</file>

<file path=customXml/itemProps5.xml><?xml version="1.0" encoding="utf-8"?>
<ds:datastoreItem xmlns:ds="http://schemas.openxmlformats.org/officeDocument/2006/customXml" ds:itemID="{FA77BBF9-6CB6-47D1-9BC5-119650621F11}"/>
</file>

<file path=docProps/app.xml><?xml version="1.0" encoding="utf-8"?>
<Properties xmlns="http://schemas.openxmlformats.org/officeDocument/2006/extended-properties" xmlns:vt="http://schemas.openxmlformats.org/officeDocument/2006/docPropsVTypes">
  <Template>Normal</Template>
  <TotalTime>3</TotalTime>
  <Pages>27</Pages>
  <Words>12166</Words>
  <Characters>69349</Characters>
  <Application>Microsoft Office Word</Application>
  <DocSecurity>0</DocSecurity>
  <Lines>577</Lines>
  <Paragraphs>162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81353</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3</cp:revision>
  <cp:lastPrinted>2014-10-15T07:21:00Z</cp:lastPrinted>
  <dcterms:created xsi:type="dcterms:W3CDTF">2014-10-16T16:22:00Z</dcterms:created>
  <dcterms:modified xsi:type="dcterms:W3CDTF">2014-10-20T11:42:00Z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4afd100e-ea7e-4da8-a423-6d63cdc8f874</vt:lpwstr>
  </property>
</Properties>
</file>